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22" w:rsidRDefault="00E62E22" w:rsidP="00A5346C">
      <w:pPr>
        <w:jc w:val="center"/>
        <w:rPr>
          <w:rFonts w:ascii="Verdana" w:hAnsi="Verdana"/>
          <w:b/>
          <w:bCs/>
          <w:sz w:val="20"/>
          <w:szCs w:val="20"/>
        </w:rPr>
      </w:pPr>
    </w:p>
    <w:p w:rsidR="00E62E22" w:rsidRDefault="00E62E22" w:rsidP="00A5346C">
      <w:pPr>
        <w:jc w:val="center"/>
        <w:rPr>
          <w:rFonts w:ascii="Verdana" w:hAnsi="Verdana"/>
          <w:b/>
          <w:bCs/>
          <w:sz w:val="20"/>
          <w:szCs w:val="20"/>
        </w:rPr>
      </w:pPr>
    </w:p>
    <w:p w:rsidR="00E62E22" w:rsidRDefault="00E62E22" w:rsidP="00A5346C">
      <w:pPr>
        <w:jc w:val="center"/>
        <w:rPr>
          <w:rFonts w:ascii="Verdana" w:hAnsi="Verdana"/>
          <w:b/>
          <w:bCs/>
          <w:sz w:val="20"/>
          <w:szCs w:val="20"/>
        </w:rPr>
      </w:pPr>
    </w:p>
    <w:p w:rsidR="00E62E22" w:rsidRDefault="00E62E22" w:rsidP="00A5346C">
      <w:pPr>
        <w:jc w:val="center"/>
        <w:rPr>
          <w:rFonts w:ascii="Verdana" w:hAnsi="Verdana"/>
          <w:b/>
          <w:bCs/>
          <w:sz w:val="20"/>
          <w:szCs w:val="20"/>
        </w:rPr>
      </w:pPr>
    </w:p>
    <w:p w:rsidR="00526DE1" w:rsidRPr="00E62E22" w:rsidRDefault="00526DE1" w:rsidP="00A5346C">
      <w:pPr>
        <w:jc w:val="center"/>
        <w:rPr>
          <w:rFonts w:ascii="Verdana" w:hAnsi="Verdana"/>
          <w:b/>
          <w:bCs/>
          <w:sz w:val="20"/>
          <w:szCs w:val="20"/>
        </w:rPr>
      </w:pPr>
      <w:r w:rsidRPr="00E62E22">
        <w:rPr>
          <w:rFonts w:ascii="Verdana" w:hAnsi="Verdana"/>
          <w:b/>
          <w:bCs/>
          <w:sz w:val="20"/>
          <w:szCs w:val="20"/>
        </w:rPr>
        <w:t>SERVET GYO A.Ş.</w:t>
      </w:r>
    </w:p>
    <w:p w:rsidR="00195146" w:rsidRPr="00E62E22" w:rsidRDefault="00195146" w:rsidP="00A5346C">
      <w:pPr>
        <w:jc w:val="center"/>
        <w:rPr>
          <w:rFonts w:ascii="Verdana" w:hAnsi="Verdana"/>
          <w:b/>
          <w:bCs/>
          <w:sz w:val="20"/>
          <w:szCs w:val="20"/>
        </w:rPr>
      </w:pPr>
      <w:r w:rsidRPr="00E62E22">
        <w:rPr>
          <w:rFonts w:ascii="Verdana" w:hAnsi="Verdana"/>
          <w:b/>
          <w:bCs/>
          <w:sz w:val="20"/>
          <w:szCs w:val="20"/>
        </w:rPr>
        <w:t>GENEL KURUL BİLGİLENDİRME DÖKÜMANI</w:t>
      </w:r>
    </w:p>
    <w:p w:rsidR="003B2428" w:rsidRPr="00E62E22" w:rsidRDefault="003B2428" w:rsidP="00A5346C">
      <w:pPr>
        <w:jc w:val="center"/>
        <w:rPr>
          <w:rFonts w:ascii="Verdana" w:hAnsi="Verdana"/>
          <w:b/>
          <w:bCs/>
          <w:sz w:val="20"/>
          <w:szCs w:val="20"/>
        </w:rPr>
      </w:pPr>
      <w:r w:rsidRPr="00E62E22">
        <w:rPr>
          <w:rFonts w:ascii="Verdana" w:hAnsi="Verdana"/>
          <w:b/>
          <w:bCs/>
          <w:sz w:val="20"/>
          <w:szCs w:val="20"/>
        </w:rPr>
        <w:t>(Sermaye Piyasası Kurulunun II-</w:t>
      </w:r>
      <w:proofErr w:type="gramStart"/>
      <w:r w:rsidRPr="00E62E22">
        <w:rPr>
          <w:rFonts w:ascii="Verdana" w:hAnsi="Verdana"/>
          <w:b/>
          <w:bCs/>
          <w:sz w:val="20"/>
          <w:szCs w:val="20"/>
        </w:rPr>
        <w:t>17.1</w:t>
      </w:r>
      <w:proofErr w:type="gramEnd"/>
      <w:r w:rsidRPr="00E62E22">
        <w:rPr>
          <w:rFonts w:ascii="Verdana" w:hAnsi="Verdana"/>
          <w:b/>
          <w:bCs/>
          <w:sz w:val="20"/>
          <w:szCs w:val="20"/>
        </w:rPr>
        <w:t xml:space="preserve"> sayılı “Kurumsal Yönetim Tebliği” kapsamında)</w:t>
      </w:r>
    </w:p>
    <w:p w:rsidR="003B2428" w:rsidRDefault="003B2428" w:rsidP="00A5346C">
      <w:pPr>
        <w:jc w:val="center"/>
        <w:rPr>
          <w:rFonts w:ascii="Verdana" w:hAnsi="Verdana"/>
          <w:b/>
          <w:bCs/>
          <w:sz w:val="20"/>
          <w:szCs w:val="20"/>
        </w:rPr>
      </w:pPr>
    </w:p>
    <w:p w:rsidR="00E62E22" w:rsidRPr="00E62E22" w:rsidRDefault="00E62E22" w:rsidP="00A5346C">
      <w:pPr>
        <w:jc w:val="center"/>
        <w:rPr>
          <w:rFonts w:ascii="Verdana" w:hAnsi="Verdana"/>
          <w:b/>
          <w:bCs/>
          <w:sz w:val="20"/>
          <w:szCs w:val="20"/>
        </w:rPr>
      </w:pPr>
    </w:p>
    <w:p w:rsidR="00195146" w:rsidRPr="00E62E22" w:rsidRDefault="00195146" w:rsidP="00A5346C">
      <w:pPr>
        <w:jc w:val="center"/>
        <w:rPr>
          <w:rFonts w:ascii="Verdana" w:hAnsi="Verdana"/>
          <w:b/>
          <w:bCs/>
          <w:sz w:val="20"/>
          <w:szCs w:val="20"/>
        </w:rPr>
      </w:pPr>
    </w:p>
    <w:p w:rsidR="00195146" w:rsidRPr="00E62E22" w:rsidRDefault="00195146" w:rsidP="00A5346C">
      <w:pPr>
        <w:jc w:val="center"/>
        <w:rPr>
          <w:rFonts w:ascii="Verdana" w:hAnsi="Verdana"/>
          <w:b/>
          <w:bCs/>
          <w:sz w:val="20"/>
          <w:szCs w:val="20"/>
        </w:rPr>
      </w:pPr>
    </w:p>
    <w:p w:rsidR="00195146" w:rsidRPr="00E62E22" w:rsidRDefault="00195146" w:rsidP="00195146">
      <w:pPr>
        <w:rPr>
          <w:rFonts w:ascii="Verdana" w:hAnsi="Verdana"/>
          <w:b/>
          <w:bCs/>
          <w:sz w:val="20"/>
          <w:szCs w:val="20"/>
        </w:rPr>
      </w:pPr>
      <w:r w:rsidRPr="00E62E22">
        <w:rPr>
          <w:rFonts w:ascii="Verdana" w:hAnsi="Verdana"/>
          <w:b/>
          <w:bCs/>
          <w:sz w:val="20"/>
          <w:szCs w:val="20"/>
        </w:rPr>
        <w:t xml:space="preserve">A) </w:t>
      </w:r>
      <w:r w:rsidR="00526DE1" w:rsidRPr="00E62E22">
        <w:rPr>
          <w:rFonts w:ascii="Verdana" w:hAnsi="Verdana"/>
          <w:b/>
          <w:bCs/>
          <w:sz w:val="20"/>
          <w:szCs w:val="20"/>
        </w:rPr>
        <w:t>GENEL KURUL GÜNDEMİ</w:t>
      </w:r>
    </w:p>
    <w:p w:rsidR="00195146" w:rsidRPr="00E62E22" w:rsidRDefault="00195146" w:rsidP="00A5346C">
      <w:pPr>
        <w:jc w:val="center"/>
        <w:rPr>
          <w:rFonts w:ascii="Verdana" w:hAnsi="Verdana"/>
          <w:b/>
          <w:bCs/>
          <w:sz w:val="20"/>
          <w:szCs w:val="20"/>
        </w:rPr>
      </w:pPr>
    </w:p>
    <w:p w:rsidR="00195146" w:rsidRPr="00E62E22" w:rsidRDefault="00195146" w:rsidP="00A5346C">
      <w:pPr>
        <w:jc w:val="center"/>
        <w:rPr>
          <w:rFonts w:ascii="Verdana" w:hAnsi="Verdana"/>
          <w:b/>
          <w:bCs/>
          <w:sz w:val="20"/>
          <w:szCs w:val="20"/>
        </w:rPr>
      </w:pPr>
    </w:p>
    <w:p w:rsidR="00E62E22" w:rsidRPr="004410DB" w:rsidRDefault="00E62E22" w:rsidP="00E62E22">
      <w:pPr>
        <w:spacing w:line="276" w:lineRule="auto"/>
        <w:jc w:val="center"/>
        <w:rPr>
          <w:rFonts w:ascii="Verdana" w:hAnsi="Verdana"/>
          <w:b/>
          <w:bCs/>
          <w:sz w:val="20"/>
        </w:rPr>
      </w:pPr>
      <w:r w:rsidRPr="004410DB">
        <w:rPr>
          <w:rFonts w:ascii="Verdana" w:hAnsi="Verdana"/>
          <w:b/>
          <w:sz w:val="20"/>
        </w:rPr>
        <w:t>SERVET GAYRİMENKUL YATIRIM ORTAKLIĞI A.Ş.</w:t>
      </w:r>
    </w:p>
    <w:p w:rsidR="00E62E22" w:rsidRPr="004410DB" w:rsidRDefault="00E62E22" w:rsidP="00E62E22">
      <w:pPr>
        <w:spacing w:line="276" w:lineRule="auto"/>
        <w:jc w:val="center"/>
        <w:rPr>
          <w:rFonts w:ascii="Verdana" w:hAnsi="Verdana"/>
          <w:b/>
          <w:bCs/>
          <w:sz w:val="20"/>
        </w:rPr>
      </w:pPr>
      <w:r>
        <w:rPr>
          <w:rFonts w:ascii="Verdana" w:hAnsi="Verdana"/>
          <w:b/>
          <w:sz w:val="20"/>
        </w:rPr>
        <w:t xml:space="preserve">2015 YILI </w:t>
      </w:r>
      <w:r w:rsidRPr="004410DB">
        <w:rPr>
          <w:rFonts w:ascii="Verdana" w:hAnsi="Verdana"/>
          <w:b/>
          <w:sz w:val="20"/>
        </w:rPr>
        <w:t>OLAĞAN GENEL KURUL GÜNDEMİ</w:t>
      </w:r>
    </w:p>
    <w:p w:rsidR="00E62E22" w:rsidRPr="004410DB" w:rsidRDefault="00E62E22" w:rsidP="00E62E22">
      <w:pPr>
        <w:spacing w:line="276" w:lineRule="auto"/>
        <w:jc w:val="center"/>
        <w:rPr>
          <w:rFonts w:ascii="Verdana" w:hAnsi="Verdana"/>
          <w:b/>
          <w:bCs/>
          <w:sz w:val="20"/>
        </w:rPr>
      </w:pPr>
    </w:p>
    <w:p w:rsidR="00E62E22" w:rsidRPr="004410DB" w:rsidRDefault="00E62E22" w:rsidP="00E62E22">
      <w:pPr>
        <w:pStyle w:val="ListeParagraf"/>
        <w:spacing w:line="276" w:lineRule="auto"/>
        <w:ind w:left="2136" w:firstLine="696"/>
        <w:rPr>
          <w:rFonts w:ascii="Verdana" w:hAnsi="Verdana" w:cs="Times New Roman"/>
          <w:b/>
          <w:bCs/>
          <w:sz w:val="20"/>
        </w:rPr>
      </w:pPr>
      <w:r w:rsidRPr="00A14C06">
        <w:rPr>
          <w:rFonts w:ascii="Verdana" w:hAnsi="Verdana" w:cs="Times New Roman"/>
          <w:b/>
          <w:sz w:val="20"/>
        </w:rPr>
        <w:t>27</w:t>
      </w:r>
      <w:r>
        <w:rPr>
          <w:rFonts w:ascii="Verdana" w:hAnsi="Verdana" w:cs="Times New Roman"/>
          <w:b/>
          <w:sz w:val="20"/>
        </w:rPr>
        <w:t xml:space="preserve"> Nisan 2016 </w:t>
      </w:r>
      <w:r w:rsidRPr="00A14C06">
        <w:rPr>
          <w:rFonts w:ascii="Verdana" w:hAnsi="Verdana" w:cs="Times New Roman"/>
          <w:b/>
          <w:sz w:val="20"/>
        </w:rPr>
        <w:t xml:space="preserve">Çarşamba– </w:t>
      </w:r>
      <w:proofErr w:type="gramStart"/>
      <w:r w:rsidRPr="00A14C06">
        <w:rPr>
          <w:rFonts w:ascii="Verdana" w:hAnsi="Verdana" w:cs="Times New Roman"/>
          <w:b/>
          <w:sz w:val="20"/>
        </w:rPr>
        <w:t>1</w:t>
      </w:r>
      <w:r w:rsidRPr="00A14C06">
        <w:rPr>
          <w:rFonts w:ascii="Verdana" w:hAnsi="Verdana" w:cs="Times New Roman"/>
          <w:b/>
          <w:bCs/>
          <w:sz w:val="20"/>
        </w:rPr>
        <w:t>1</w:t>
      </w:r>
      <w:r w:rsidRPr="00A14C06">
        <w:rPr>
          <w:rFonts w:ascii="Verdana" w:hAnsi="Verdana" w:cs="Times New Roman"/>
          <w:b/>
          <w:sz w:val="20"/>
        </w:rPr>
        <w:t>:00</w:t>
      </w:r>
      <w:proofErr w:type="gramEnd"/>
    </w:p>
    <w:p w:rsidR="00E62E22" w:rsidRPr="00475891" w:rsidRDefault="00E62E22" w:rsidP="00E62E22">
      <w:pPr>
        <w:numPr>
          <w:ilvl w:val="0"/>
          <w:numId w:val="1"/>
        </w:numPr>
        <w:spacing w:before="100" w:beforeAutospacing="1" w:after="100" w:afterAutospacing="1" w:line="276" w:lineRule="auto"/>
        <w:jc w:val="both"/>
        <w:rPr>
          <w:rFonts w:ascii="Verdana" w:hAnsi="Verdana"/>
          <w:bCs/>
          <w:sz w:val="20"/>
        </w:rPr>
      </w:pPr>
      <w:r w:rsidRPr="00C6263D">
        <w:rPr>
          <w:rFonts w:ascii="Verdana" w:hAnsi="Verdana"/>
          <w:sz w:val="20"/>
        </w:rPr>
        <w:t xml:space="preserve">Açılış, </w:t>
      </w:r>
      <w:r>
        <w:rPr>
          <w:rFonts w:ascii="Verdana" w:hAnsi="Verdana"/>
          <w:sz w:val="20"/>
        </w:rPr>
        <w:t>Toplantı Başkanlığı</w:t>
      </w:r>
      <w:r w:rsidRPr="00C6263D">
        <w:rPr>
          <w:rFonts w:ascii="Verdana" w:hAnsi="Verdana"/>
          <w:sz w:val="20"/>
        </w:rPr>
        <w:t xml:space="preserve">’nın oluşturulması ve toplantı tutanaklarının imzalanması için </w:t>
      </w:r>
      <w:r w:rsidRPr="009E2B82">
        <w:rPr>
          <w:rFonts w:ascii="Verdana" w:hAnsi="Verdana"/>
          <w:sz w:val="20"/>
        </w:rPr>
        <w:t>Toplantı Başkanlığı</w:t>
      </w:r>
      <w:r w:rsidRPr="00C6263D">
        <w:rPr>
          <w:rFonts w:ascii="Verdana" w:hAnsi="Verdana"/>
          <w:sz w:val="20"/>
        </w:rPr>
        <w:t>’</w:t>
      </w:r>
      <w:r>
        <w:rPr>
          <w:rFonts w:ascii="Verdana" w:hAnsi="Verdana"/>
          <w:sz w:val="20"/>
        </w:rPr>
        <w:t>n</w:t>
      </w:r>
      <w:r w:rsidRPr="00C6263D">
        <w:rPr>
          <w:rFonts w:ascii="Verdana" w:hAnsi="Verdana"/>
          <w:sz w:val="20"/>
        </w:rPr>
        <w:t>a yetki verilmesi,</w:t>
      </w:r>
    </w:p>
    <w:p w:rsidR="00E62E22" w:rsidRPr="00C6263D" w:rsidRDefault="00E62E22" w:rsidP="00E62E22">
      <w:pPr>
        <w:numPr>
          <w:ilvl w:val="0"/>
          <w:numId w:val="1"/>
        </w:numPr>
        <w:spacing w:before="100" w:beforeAutospacing="1" w:after="100" w:afterAutospacing="1" w:line="276" w:lineRule="auto"/>
        <w:ind w:left="714" w:hanging="357"/>
        <w:jc w:val="both"/>
        <w:rPr>
          <w:rFonts w:ascii="Verdana" w:hAnsi="Verdana"/>
          <w:bCs/>
          <w:sz w:val="20"/>
        </w:rPr>
      </w:pPr>
      <w:r>
        <w:rPr>
          <w:rFonts w:ascii="Verdana" w:hAnsi="Verdana"/>
          <w:sz w:val="20"/>
        </w:rPr>
        <w:t>2015 y</w:t>
      </w:r>
      <w:r w:rsidRPr="00C6263D">
        <w:rPr>
          <w:rFonts w:ascii="Verdana" w:hAnsi="Verdana"/>
          <w:sz w:val="20"/>
        </w:rPr>
        <w:t>ılı finansal tablolarının, Yönetim Kur</w:t>
      </w:r>
      <w:r>
        <w:rPr>
          <w:rFonts w:ascii="Verdana" w:hAnsi="Verdana"/>
          <w:sz w:val="20"/>
        </w:rPr>
        <w:t>ulu faaliyet raporu ve bağımsız</w:t>
      </w:r>
      <w:r w:rsidRPr="00C6263D">
        <w:rPr>
          <w:rFonts w:ascii="Verdana" w:hAnsi="Verdana"/>
          <w:sz w:val="20"/>
        </w:rPr>
        <w:t xml:space="preserve"> denetim kuruluşu rapo</w:t>
      </w:r>
      <w:r>
        <w:rPr>
          <w:rFonts w:ascii="Verdana" w:hAnsi="Verdana"/>
          <w:sz w:val="20"/>
        </w:rPr>
        <w:t>rlarının okunması, müzakeresi ve Genel Kurul onayına sunulması,</w:t>
      </w:r>
    </w:p>
    <w:p w:rsidR="00E62E22" w:rsidRPr="00C6263D" w:rsidRDefault="00E62E22" w:rsidP="00E62E22">
      <w:pPr>
        <w:numPr>
          <w:ilvl w:val="0"/>
          <w:numId w:val="1"/>
        </w:numPr>
        <w:autoSpaceDE w:val="0"/>
        <w:autoSpaceDN w:val="0"/>
        <w:adjustRightInd w:val="0"/>
        <w:spacing w:after="59" w:line="276" w:lineRule="auto"/>
        <w:jc w:val="both"/>
        <w:rPr>
          <w:rFonts w:ascii="Verdana" w:hAnsi="Verdana"/>
          <w:bCs/>
          <w:sz w:val="20"/>
        </w:rPr>
      </w:pPr>
      <w:r w:rsidRPr="00C6263D">
        <w:rPr>
          <w:rFonts w:ascii="Verdana" w:hAnsi="Verdana"/>
          <w:sz w:val="20"/>
        </w:rPr>
        <w:t>Sermaye Piyasası Kurulu'nun III-</w:t>
      </w:r>
      <w:proofErr w:type="gramStart"/>
      <w:r w:rsidRPr="00C6263D">
        <w:rPr>
          <w:rFonts w:ascii="Verdana" w:hAnsi="Verdana"/>
          <w:sz w:val="20"/>
        </w:rPr>
        <w:t>48.1</w:t>
      </w:r>
      <w:proofErr w:type="gramEnd"/>
      <w:r w:rsidRPr="00C6263D">
        <w:rPr>
          <w:rFonts w:ascii="Verdana" w:hAnsi="Verdana"/>
          <w:sz w:val="20"/>
        </w:rPr>
        <w:t xml:space="preserve"> numaralı Gayrimenkul Yatırım Ortaklıklarına İlişkin Esaslar Tebliği'nin 37. maddesi uyarınca Genel Kurul'a bilgi verilmesi, </w:t>
      </w:r>
    </w:p>
    <w:p w:rsidR="00E62E22" w:rsidRPr="00C6263D" w:rsidRDefault="00E62E22" w:rsidP="00E62E22">
      <w:pPr>
        <w:numPr>
          <w:ilvl w:val="0"/>
          <w:numId w:val="1"/>
        </w:numPr>
        <w:spacing w:before="100" w:beforeAutospacing="1" w:after="100" w:afterAutospacing="1" w:line="276" w:lineRule="auto"/>
        <w:jc w:val="both"/>
        <w:rPr>
          <w:rFonts w:ascii="Verdana" w:hAnsi="Verdana"/>
          <w:bCs/>
          <w:sz w:val="20"/>
        </w:rPr>
      </w:pPr>
      <w:r w:rsidRPr="00C6263D">
        <w:rPr>
          <w:rFonts w:ascii="Verdana" w:hAnsi="Verdana"/>
          <w:sz w:val="20"/>
        </w:rPr>
        <w:t>Yönetim Kurulu üyelerinin 2015 yılı çalışmalarından dolayı ayrı ayrı ibralarının müzakeresi</w:t>
      </w:r>
      <w:r w:rsidRPr="008D4583">
        <w:t xml:space="preserve"> </w:t>
      </w:r>
      <w:r w:rsidRPr="008D4583">
        <w:rPr>
          <w:rFonts w:ascii="Verdana" w:hAnsi="Verdana"/>
          <w:sz w:val="20"/>
        </w:rPr>
        <w:t>ve Genel Kurul onayına sunulması</w:t>
      </w:r>
      <w:r w:rsidRPr="00C6263D">
        <w:rPr>
          <w:rFonts w:ascii="Verdana" w:hAnsi="Verdana"/>
          <w:sz w:val="20"/>
        </w:rPr>
        <w:t>,</w:t>
      </w:r>
    </w:p>
    <w:p w:rsidR="00E62E22" w:rsidRPr="00C6263D" w:rsidRDefault="00E62E22" w:rsidP="00E62E22">
      <w:pPr>
        <w:numPr>
          <w:ilvl w:val="0"/>
          <w:numId w:val="1"/>
        </w:numPr>
        <w:spacing w:before="100" w:beforeAutospacing="1" w:after="100" w:afterAutospacing="1" w:line="276" w:lineRule="auto"/>
        <w:jc w:val="both"/>
        <w:rPr>
          <w:rFonts w:ascii="Verdana" w:hAnsi="Verdana"/>
          <w:bCs/>
          <w:sz w:val="20"/>
        </w:rPr>
      </w:pPr>
      <w:r w:rsidRPr="00C6263D">
        <w:rPr>
          <w:rFonts w:ascii="Verdana" w:hAnsi="Verdana"/>
          <w:sz w:val="20"/>
        </w:rPr>
        <w:t>Yönetim Kurulu'nun temettü dağıtımı</w:t>
      </w:r>
      <w:r>
        <w:rPr>
          <w:rFonts w:ascii="Verdana" w:hAnsi="Verdana"/>
          <w:bCs/>
          <w:sz w:val="20"/>
        </w:rPr>
        <w:t xml:space="preserve"> ile ilgili</w:t>
      </w:r>
      <w:r w:rsidRPr="00C6263D">
        <w:rPr>
          <w:rFonts w:ascii="Verdana" w:hAnsi="Verdana"/>
          <w:sz w:val="20"/>
        </w:rPr>
        <w:t xml:space="preserve"> önerisinin müzakeresi</w:t>
      </w:r>
      <w:r>
        <w:rPr>
          <w:rFonts w:ascii="Verdana" w:hAnsi="Verdana"/>
          <w:sz w:val="20"/>
        </w:rPr>
        <w:t xml:space="preserve"> </w:t>
      </w:r>
      <w:r w:rsidRPr="008D4583">
        <w:rPr>
          <w:rFonts w:ascii="Verdana" w:hAnsi="Verdana"/>
          <w:sz w:val="20"/>
        </w:rPr>
        <w:t>ve Genel Kurul onayına sunulması</w:t>
      </w:r>
      <w:r w:rsidRPr="00C6263D">
        <w:rPr>
          <w:rFonts w:ascii="Verdana" w:hAnsi="Verdana"/>
          <w:sz w:val="20"/>
        </w:rPr>
        <w:t>,</w:t>
      </w:r>
    </w:p>
    <w:p w:rsidR="00E62E22" w:rsidRPr="00C6263D" w:rsidRDefault="00E62E22" w:rsidP="00E62E22">
      <w:pPr>
        <w:numPr>
          <w:ilvl w:val="0"/>
          <w:numId w:val="1"/>
        </w:numPr>
        <w:spacing w:before="100" w:beforeAutospacing="1" w:after="100" w:afterAutospacing="1" w:line="276" w:lineRule="auto"/>
        <w:jc w:val="both"/>
        <w:rPr>
          <w:rFonts w:ascii="Verdana" w:hAnsi="Verdana"/>
          <w:bCs/>
          <w:sz w:val="20"/>
        </w:rPr>
      </w:pPr>
      <w:r w:rsidRPr="00C6263D">
        <w:rPr>
          <w:rFonts w:ascii="Verdana" w:hAnsi="Verdana"/>
          <w:sz w:val="20"/>
        </w:rPr>
        <w:t>Yönetim Kurulu Üyelerinin seçimi, görev sürelerinin belirlenmesi ve ücretlerinin tespiti,</w:t>
      </w:r>
    </w:p>
    <w:p w:rsidR="00E62E22" w:rsidRPr="00C6263D" w:rsidRDefault="00E62E22" w:rsidP="00E62E22">
      <w:pPr>
        <w:numPr>
          <w:ilvl w:val="0"/>
          <w:numId w:val="1"/>
        </w:numPr>
        <w:spacing w:before="100" w:beforeAutospacing="1" w:after="100" w:afterAutospacing="1" w:line="276" w:lineRule="auto"/>
        <w:contextualSpacing/>
        <w:jc w:val="both"/>
        <w:rPr>
          <w:rFonts w:ascii="Verdana" w:hAnsi="Verdana"/>
          <w:bCs/>
          <w:sz w:val="20"/>
        </w:rPr>
      </w:pPr>
      <w:r w:rsidRPr="00C6263D">
        <w:rPr>
          <w:rFonts w:ascii="Verdana" w:hAnsi="Verdana"/>
          <w:sz w:val="20"/>
        </w:rPr>
        <w:t>2015 yılı içinde yapılan bağışlar hakkında ortaklara bilgi verilmesi ve 2016 yılı bağışları için üst sınır belirlenmesi,</w:t>
      </w:r>
    </w:p>
    <w:p w:rsidR="00E62E22" w:rsidRPr="00C6263D" w:rsidRDefault="00E62E22" w:rsidP="00E62E22">
      <w:pPr>
        <w:numPr>
          <w:ilvl w:val="0"/>
          <w:numId w:val="1"/>
        </w:numPr>
        <w:spacing w:before="100" w:beforeAutospacing="1" w:after="100" w:afterAutospacing="1" w:line="276" w:lineRule="auto"/>
        <w:jc w:val="both"/>
        <w:rPr>
          <w:rFonts w:ascii="Verdana" w:hAnsi="Verdana"/>
          <w:bCs/>
          <w:sz w:val="20"/>
          <w:lang w:val="en-US"/>
        </w:rPr>
      </w:pPr>
      <w:r w:rsidRPr="00C6263D">
        <w:rPr>
          <w:rFonts w:ascii="Verdana" w:hAnsi="Verdana"/>
          <w:sz w:val="20"/>
        </w:rPr>
        <w:t>Yönetim Kurulu Üyelerine şirket konusuna giren işleri bizzat veya başkaları adına yapmaları ve bu tür isleri yapan şirketlerde ortak olabilmeleri ve diğer işlemleri yapabilmeleri hususunda Türk Ticaret Kanunu’nun 395.  ve 396. Maddeleri kapsamında izin verilmesinin müzakeresi</w:t>
      </w:r>
      <w:r>
        <w:rPr>
          <w:rFonts w:ascii="Verdana" w:hAnsi="Verdana"/>
          <w:sz w:val="20"/>
        </w:rPr>
        <w:t xml:space="preserve"> </w:t>
      </w:r>
      <w:r w:rsidRPr="008D4583">
        <w:rPr>
          <w:rFonts w:ascii="Verdana" w:hAnsi="Verdana"/>
          <w:sz w:val="20"/>
        </w:rPr>
        <w:t>ve Genel Kurul onayına sunulması</w:t>
      </w:r>
      <w:r w:rsidRPr="00C6263D">
        <w:rPr>
          <w:rFonts w:ascii="Verdana" w:hAnsi="Verdana"/>
          <w:sz w:val="20"/>
        </w:rPr>
        <w:t>,</w:t>
      </w:r>
    </w:p>
    <w:p w:rsidR="00E62E22" w:rsidRPr="00C6263D" w:rsidRDefault="00E62E22" w:rsidP="00E62E22">
      <w:pPr>
        <w:numPr>
          <w:ilvl w:val="0"/>
          <w:numId w:val="1"/>
        </w:numPr>
        <w:spacing w:before="100" w:beforeAutospacing="1" w:after="100" w:afterAutospacing="1" w:line="276" w:lineRule="auto"/>
        <w:jc w:val="both"/>
        <w:rPr>
          <w:rFonts w:ascii="Verdana" w:hAnsi="Verdana"/>
          <w:bCs/>
          <w:sz w:val="20"/>
          <w:lang w:val="en-US"/>
        </w:rPr>
      </w:pPr>
      <w:r w:rsidRPr="00C6263D">
        <w:rPr>
          <w:rFonts w:ascii="Verdana" w:hAnsi="Verdana"/>
          <w:sz w:val="20"/>
        </w:rPr>
        <w:t>İlişkili taraflarla yapılan işlemler hakkında Genel Kurul’ a bilgi verilmesi,</w:t>
      </w:r>
    </w:p>
    <w:p w:rsidR="00E62E22" w:rsidRPr="00475891" w:rsidRDefault="00E62E22" w:rsidP="00E62E22">
      <w:pPr>
        <w:numPr>
          <w:ilvl w:val="0"/>
          <w:numId w:val="1"/>
        </w:numPr>
        <w:spacing w:before="100" w:beforeAutospacing="1" w:after="100" w:afterAutospacing="1" w:line="276" w:lineRule="auto"/>
        <w:jc w:val="both"/>
        <w:rPr>
          <w:rFonts w:ascii="Verdana" w:hAnsi="Verdana"/>
          <w:bCs/>
          <w:sz w:val="20"/>
        </w:rPr>
      </w:pPr>
      <w:r w:rsidRPr="00C6263D">
        <w:rPr>
          <w:rFonts w:ascii="Verdana" w:hAnsi="Verdana"/>
          <w:sz w:val="20"/>
        </w:rPr>
        <w:t>Yönetim Kurulu tarafından bir yıl için önerilen bağımsız denetim şirketinin G</w:t>
      </w:r>
      <w:r>
        <w:rPr>
          <w:rFonts w:ascii="Verdana" w:hAnsi="Verdana"/>
          <w:sz w:val="20"/>
        </w:rPr>
        <w:t>enel Kurul’un onayına sunulması,</w:t>
      </w:r>
    </w:p>
    <w:p w:rsidR="00E62E22" w:rsidRPr="00E62E22" w:rsidRDefault="00E62E22" w:rsidP="00E62E22">
      <w:pPr>
        <w:numPr>
          <w:ilvl w:val="0"/>
          <w:numId w:val="1"/>
        </w:numPr>
        <w:spacing w:before="100" w:beforeAutospacing="1" w:after="100" w:afterAutospacing="1" w:line="276" w:lineRule="auto"/>
        <w:jc w:val="both"/>
        <w:rPr>
          <w:rFonts w:ascii="Verdana" w:hAnsi="Verdana"/>
          <w:bCs/>
          <w:sz w:val="20"/>
        </w:rPr>
      </w:pPr>
      <w:r w:rsidRPr="00475891">
        <w:rPr>
          <w:rFonts w:ascii="Verdana" w:hAnsi="Verdana"/>
          <w:sz w:val="20"/>
        </w:rPr>
        <w:t>Dilek ve öneriler.</w:t>
      </w:r>
    </w:p>
    <w:p w:rsidR="00E62E22" w:rsidRDefault="00E62E22" w:rsidP="00E62E22">
      <w:pPr>
        <w:spacing w:before="100" w:beforeAutospacing="1" w:after="100" w:afterAutospacing="1" w:line="276" w:lineRule="auto"/>
        <w:jc w:val="both"/>
        <w:rPr>
          <w:rFonts w:ascii="Verdana" w:hAnsi="Verdana"/>
          <w:sz w:val="20"/>
        </w:rPr>
      </w:pPr>
    </w:p>
    <w:p w:rsidR="00E62E22" w:rsidRDefault="00E62E22" w:rsidP="00E62E22">
      <w:pPr>
        <w:spacing w:before="100" w:beforeAutospacing="1" w:after="100" w:afterAutospacing="1" w:line="276" w:lineRule="auto"/>
        <w:jc w:val="both"/>
        <w:rPr>
          <w:rFonts w:ascii="Verdana" w:hAnsi="Verdana"/>
          <w:sz w:val="20"/>
        </w:rPr>
      </w:pPr>
    </w:p>
    <w:p w:rsidR="00E62E22" w:rsidRDefault="00E62E22" w:rsidP="00E62E22">
      <w:pPr>
        <w:spacing w:before="100" w:beforeAutospacing="1" w:after="100" w:afterAutospacing="1" w:line="276" w:lineRule="auto"/>
        <w:jc w:val="both"/>
        <w:rPr>
          <w:rFonts w:ascii="Verdana" w:hAnsi="Verdana"/>
          <w:sz w:val="20"/>
        </w:rPr>
      </w:pPr>
      <w:bookmarkStart w:id="0" w:name="_GoBack"/>
      <w:bookmarkEnd w:id="0"/>
    </w:p>
    <w:p w:rsidR="00E62E22" w:rsidRDefault="00E62E22" w:rsidP="00E62E22">
      <w:pPr>
        <w:spacing w:before="100" w:beforeAutospacing="1" w:after="100" w:afterAutospacing="1" w:line="276" w:lineRule="auto"/>
        <w:jc w:val="both"/>
        <w:rPr>
          <w:rFonts w:ascii="Verdana" w:hAnsi="Verdana"/>
          <w:sz w:val="20"/>
        </w:rPr>
      </w:pPr>
    </w:p>
    <w:p w:rsidR="00E62E22" w:rsidRPr="00475891" w:rsidRDefault="00E62E22" w:rsidP="00E62E22">
      <w:pPr>
        <w:spacing w:before="100" w:beforeAutospacing="1" w:after="100" w:afterAutospacing="1" w:line="276" w:lineRule="auto"/>
        <w:jc w:val="both"/>
        <w:rPr>
          <w:rFonts w:ascii="Verdana" w:hAnsi="Verdana"/>
          <w:bCs/>
          <w:sz w:val="20"/>
        </w:rPr>
      </w:pPr>
    </w:p>
    <w:p w:rsidR="003B2428" w:rsidRPr="00E62E22" w:rsidRDefault="003B2428" w:rsidP="00195146">
      <w:pPr>
        <w:rPr>
          <w:rFonts w:ascii="Verdana" w:hAnsi="Verdana"/>
          <w:b/>
          <w:bCs/>
          <w:sz w:val="20"/>
          <w:szCs w:val="20"/>
        </w:rPr>
      </w:pPr>
    </w:p>
    <w:p w:rsidR="00500535" w:rsidRPr="00E62E22" w:rsidRDefault="00526DE1" w:rsidP="00195146">
      <w:pPr>
        <w:rPr>
          <w:rFonts w:ascii="Verdana" w:hAnsi="Verdana"/>
          <w:b/>
          <w:bCs/>
          <w:sz w:val="20"/>
          <w:szCs w:val="20"/>
        </w:rPr>
      </w:pPr>
      <w:r w:rsidRPr="00E62E22">
        <w:rPr>
          <w:rFonts w:ascii="Verdana" w:hAnsi="Verdana"/>
          <w:b/>
          <w:bCs/>
          <w:sz w:val="20"/>
          <w:szCs w:val="20"/>
        </w:rPr>
        <w:t>B) SERVET</w:t>
      </w:r>
      <w:r w:rsidR="00195146" w:rsidRPr="00E62E22">
        <w:rPr>
          <w:rFonts w:ascii="Verdana" w:hAnsi="Verdana"/>
          <w:b/>
          <w:bCs/>
          <w:sz w:val="20"/>
          <w:szCs w:val="20"/>
        </w:rPr>
        <w:t xml:space="preserve"> GYO A.Ş. </w:t>
      </w:r>
      <w:r w:rsidRPr="00E62E22">
        <w:rPr>
          <w:rFonts w:ascii="Verdana" w:hAnsi="Verdana"/>
          <w:b/>
          <w:bCs/>
          <w:sz w:val="20"/>
          <w:szCs w:val="20"/>
        </w:rPr>
        <w:t>ORTAKLIK YAPISI</w:t>
      </w:r>
    </w:p>
    <w:p w:rsidR="00195146" w:rsidRPr="00E62E22" w:rsidRDefault="00195146" w:rsidP="00195146">
      <w:pPr>
        <w:rPr>
          <w:rFonts w:ascii="Verdana" w:hAnsi="Verdana"/>
          <w:b/>
          <w:bCs/>
          <w:sz w:val="20"/>
          <w:szCs w:val="20"/>
        </w:rPr>
      </w:pPr>
    </w:p>
    <w:tbl>
      <w:tblPr>
        <w:tblW w:w="9491" w:type="dxa"/>
        <w:tblInd w:w="55" w:type="dxa"/>
        <w:tblCellMar>
          <w:left w:w="70" w:type="dxa"/>
          <w:right w:w="142" w:type="dxa"/>
        </w:tblCellMar>
        <w:tblLook w:val="04A0" w:firstRow="1" w:lastRow="0" w:firstColumn="1" w:lastColumn="0" w:noHBand="0" w:noVBand="1"/>
      </w:tblPr>
      <w:tblGrid>
        <w:gridCol w:w="2820"/>
        <w:gridCol w:w="1060"/>
        <w:gridCol w:w="1900"/>
        <w:gridCol w:w="1890"/>
        <w:gridCol w:w="1851"/>
      </w:tblGrid>
      <w:tr w:rsidR="00526DE1" w:rsidRPr="00E62E22" w:rsidTr="005F4B71">
        <w:trPr>
          <w:trHeight w:val="510"/>
        </w:trPr>
        <w:tc>
          <w:tcPr>
            <w:tcW w:w="2820" w:type="dxa"/>
            <w:tcBorders>
              <w:top w:val="single" w:sz="8" w:space="0" w:color="auto"/>
              <w:left w:val="single" w:sz="8" w:space="0" w:color="auto"/>
              <w:bottom w:val="single" w:sz="8" w:space="0" w:color="auto"/>
              <w:right w:val="single" w:sz="4" w:space="0" w:color="auto"/>
            </w:tcBorders>
            <w:shd w:val="clear" w:color="000000" w:fill="002060"/>
            <w:vAlign w:val="center"/>
            <w:hideMark/>
          </w:tcPr>
          <w:p w:rsidR="00526DE1" w:rsidRPr="00E62E22" w:rsidRDefault="00526DE1" w:rsidP="00C22E13">
            <w:pPr>
              <w:jc w:val="center"/>
              <w:rPr>
                <w:rFonts w:ascii="Verdana" w:eastAsia="Times New Roman" w:hAnsi="Verdana"/>
                <w:b/>
                <w:bCs/>
                <w:color w:val="FFFFFF"/>
                <w:sz w:val="20"/>
                <w:szCs w:val="20"/>
                <w:lang w:eastAsia="tr-TR"/>
              </w:rPr>
            </w:pPr>
            <w:r w:rsidRPr="00E62E22">
              <w:rPr>
                <w:rFonts w:ascii="Verdana" w:eastAsia="Times New Roman" w:hAnsi="Verdana"/>
                <w:b/>
                <w:bCs/>
                <w:color w:val="FFFFFF"/>
                <w:sz w:val="20"/>
                <w:szCs w:val="20"/>
                <w:lang w:eastAsia="tr-TR"/>
              </w:rPr>
              <w:t xml:space="preserve">Hissedar </w:t>
            </w:r>
          </w:p>
        </w:tc>
        <w:tc>
          <w:tcPr>
            <w:tcW w:w="1060" w:type="dxa"/>
            <w:tcBorders>
              <w:top w:val="single" w:sz="8" w:space="0" w:color="auto"/>
              <w:left w:val="nil"/>
              <w:bottom w:val="single" w:sz="8" w:space="0" w:color="auto"/>
              <w:right w:val="single" w:sz="4" w:space="0" w:color="auto"/>
            </w:tcBorders>
            <w:shd w:val="clear" w:color="000000" w:fill="002060"/>
            <w:vAlign w:val="center"/>
            <w:hideMark/>
          </w:tcPr>
          <w:p w:rsidR="00526DE1" w:rsidRPr="00E62E22" w:rsidRDefault="00526DE1" w:rsidP="00C22E13">
            <w:pPr>
              <w:jc w:val="center"/>
              <w:rPr>
                <w:rFonts w:ascii="Verdana" w:eastAsia="Times New Roman" w:hAnsi="Verdana"/>
                <w:b/>
                <w:bCs/>
                <w:color w:val="FFFFFF"/>
                <w:sz w:val="20"/>
                <w:szCs w:val="20"/>
                <w:lang w:eastAsia="tr-TR"/>
              </w:rPr>
            </w:pPr>
            <w:r w:rsidRPr="00E62E22">
              <w:rPr>
                <w:rFonts w:ascii="Verdana" w:eastAsia="Times New Roman" w:hAnsi="Verdana"/>
                <w:b/>
                <w:bCs/>
                <w:color w:val="FFFFFF"/>
                <w:sz w:val="20"/>
                <w:szCs w:val="20"/>
                <w:lang w:eastAsia="tr-TR"/>
              </w:rPr>
              <w:t xml:space="preserve">Grubu </w:t>
            </w:r>
          </w:p>
        </w:tc>
        <w:tc>
          <w:tcPr>
            <w:tcW w:w="1900" w:type="dxa"/>
            <w:tcBorders>
              <w:top w:val="single" w:sz="8" w:space="0" w:color="auto"/>
              <w:left w:val="nil"/>
              <w:bottom w:val="single" w:sz="8" w:space="0" w:color="auto"/>
              <w:right w:val="single" w:sz="4" w:space="0" w:color="auto"/>
            </w:tcBorders>
            <w:shd w:val="clear" w:color="000000" w:fill="002060"/>
            <w:vAlign w:val="center"/>
            <w:hideMark/>
          </w:tcPr>
          <w:p w:rsidR="00526DE1" w:rsidRPr="00E62E22" w:rsidRDefault="00526DE1" w:rsidP="00C22E13">
            <w:pPr>
              <w:jc w:val="center"/>
              <w:rPr>
                <w:rFonts w:ascii="Verdana" w:eastAsia="Times New Roman" w:hAnsi="Verdana"/>
                <w:b/>
                <w:bCs/>
                <w:color w:val="FFFFFF"/>
                <w:sz w:val="20"/>
                <w:szCs w:val="20"/>
                <w:lang w:eastAsia="tr-TR"/>
              </w:rPr>
            </w:pPr>
            <w:r w:rsidRPr="00E62E22">
              <w:rPr>
                <w:rFonts w:ascii="Verdana" w:eastAsia="Times New Roman" w:hAnsi="Verdana"/>
                <w:b/>
                <w:bCs/>
                <w:color w:val="FFFFFF"/>
                <w:sz w:val="20"/>
                <w:szCs w:val="20"/>
                <w:lang w:eastAsia="tr-TR"/>
              </w:rPr>
              <w:t xml:space="preserve">Pay Tutarı (TL) </w:t>
            </w:r>
          </w:p>
        </w:tc>
        <w:tc>
          <w:tcPr>
            <w:tcW w:w="1890" w:type="dxa"/>
            <w:tcBorders>
              <w:top w:val="single" w:sz="8" w:space="0" w:color="auto"/>
              <w:left w:val="nil"/>
              <w:bottom w:val="single" w:sz="8" w:space="0" w:color="auto"/>
              <w:right w:val="single" w:sz="8" w:space="0" w:color="auto"/>
            </w:tcBorders>
            <w:shd w:val="clear" w:color="000000" w:fill="002060"/>
            <w:vAlign w:val="center"/>
            <w:hideMark/>
          </w:tcPr>
          <w:p w:rsidR="00526DE1" w:rsidRPr="00E62E22" w:rsidRDefault="00526DE1" w:rsidP="00C22E13">
            <w:pPr>
              <w:jc w:val="center"/>
              <w:rPr>
                <w:rFonts w:ascii="Verdana" w:eastAsia="Times New Roman" w:hAnsi="Verdana"/>
                <w:b/>
                <w:bCs/>
                <w:color w:val="FFFFFF"/>
                <w:sz w:val="20"/>
                <w:szCs w:val="20"/>
                <w:lang w:eastAsia="tr-TR"/>
              </w:rPr>
            </w:pPr>
            <w:r w:rsidRPr="00E62E22">
              <w:rPr>
                <w:rFonts w:ascii="Verdana" w:eastAsia="Times New Roman" w:hAnsi="Verdana"/>
                <w:b/>
                <w:bCs/>
                <w:color w:val="FFFFFF"/>
                <w:sz w:val="20"/>
                <w:szCs w:val="20"/>
                <w:lang w:eastAsia="tr-TR"/>
              </w:rPr>
              <w:t xml:space="preserve">Pay Oranı </w:t>
            </w:r>
          </w:p>
        </w:tc>
        <w:tc>
          <w:tcPr>
            <w:tcW w:w="1821" w:type="dxa"/>
            <w:tcBorders>
              <w:top w:val="single" w:sz="8" w:space="0" w:color="auto"/>
              <w:left w:val="nil"/>
              <w:bottom w:val="single" w:sz="8" w:space="0" w:color="auto"/>
              <w:right w:val="single" w:sz="8" w:space="0" w:color="auto"/>
            </w:tcBorders>
            <w:shd w:val="clear" w:color="000000" w:fill="002060"/>
            <w:vAlign w:val="center"/>
          </w:tcPr>
          <w:p w:rsidR="00526DE1" w:rsidRPr="00E62E22" w:rsidRDefault="00526DE1" w:rsidP="00C22E13">
            <w:pPr>
              <w:jc w:val="center"/>
              <w:rPr>
                <w:rFonts w:ascii="Verdana" w:eastAsia="Times New Roman" w:hAnsi="Verdana"/>
                <w:b/>
                <w:bCs/>
                <w:color w:val="FFFFFF"/>
                <w:sz w:val="20"/>
                <w:szCs w:val="20"/>
                <w:lang w:eastAsia="tr-TR"/>
              </w:rPr>
            </w:pPr>
            <w:r w:rsidRPr="00E62E22">
              <w:rPr>
                <w:rFonts w:ascii="Verdana" w:eastAsia="Times New Roman" w:hAnsi="Verdana"/>
                <w:b/>
                <w:bCs/>
                <w:color w:val="FFFFFF"/>
                <w:sz w:val="20"/>
                <w:szCs w:val="20"/>
                <w:lang w:eastAsia="tr-TR"/>
              </w:rPr>
              <w:t>Oy Hakkı</w:t>
            </w:r>
          </w:p>
        </w:tc>
      </w:tr>
      <w:tr w:rsidR="006827F2" w:rsidRPr="00E62E22" w:rsidTr="00E62E22">
        <w:trPr>
          <w:trHeight w:val="277"/>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Avni Çelik</w:t>
            </w:r>
          </w:p>
        </w:tc>
        <w:tc>
          <w:tcPr>
            <w:tcW w:w="1060" w:type="dxa"/>
            <w:tcBorders>
              <w:top w:val="nil"/>
              <w:left w:val="nil"/>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A</w:t>
            </w:r>
          </w:p>
        </w:tc>
        <w:tc>
          <w:tcPr>
            <w:tcW w:w="1900" w:type="dxa"/>
            <w:tcBorders>
              <w:top w:val="nil"/>
              <w:left w:val="nil"/>
              <w:bottom w:val="single" w:sz="4" w:space="0" w:color="auto"/>
              <w:right w:val="single" w:sz="4" w:space="0" w:color="auto"/>
            </w:tcBorders>
            <w:shd w:val="clear" w:color="auto" w:fill="auto"/>
            <w:noWrap/>
            <w:vAlign w:val="center"/>
            <w:hideMark/>
          </w:tcPr>
          <w:p w:rsidR="006827F2" w:rsidRPr="00E62E22" w:rsidRDefault="00E62E22" w:rsidP="00E62E22">
            <w:pPr>
              <w:jc w:val="right"/>
              <w:textAlignment w:val="center"/>
              <w:rPr>
                <w:rFonts w:ascii="Verdana" w:eastAsia="Times New Roman" w:hAnsi="Verdana"/>
                <w:color w:val="000000"/>
                <w:sz w:val="20"/>
                <w:szCs w:val="20"/>
                <w:lang w:eastAsia="tr-TR"/>
              </w:rPr>
            </w:pPr>
            <w:r>
              <w:rPr>
                <w:rFonts w:ascii="Verdana" w:eastAsia="Times New Roman" w:hAnsi="Verdana"/>
                <w:color w:val="000000"/>
                <w:kern w:val="24"/>
                <w:sz w:val="20"/>
                <w:szCs w:val="20"/>
                <w:lang w:eastAsia="tr-TR"/>
              </w:rPr>
              <w:t>1.010.276</w:t>
            </w:r>
          </w:p>
        </w:tc>
        <w:tc>
          <w:tcPr>
            <w:tcW w:w="1890" w:type="dxa"/>
            <w:tcBorders>
              <w:top w:val="nil"/>
              <w:left w:val="nil"/>
              <w:bottom w:val="single" w:sz="4" w:space="0" w:color="auto"/>
              <w:right w:val="single" w:sz="8" w:space="0" w:color="auto"/>
            </w:tcBorders>
            <w:shd w:val="clear" w:color="auto" w:fill="auto"/>
            <w:noWrap/>
            <w:vAlign w:val="center"/>
            <w:hideMark/>
          </w:tcPr>
          <w:p w:rsidR="006827F2" w:rsidRPr="00E62E22" w:rsidRDefault="006827F2" w:rsidP="00E62E22">
            <w:pPr>
              <w:jc w:val="right"/>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1,94%</w:t>
            </w:r>
          </w:p>
        </w:tc>
        <w:tc>
          <w:tcPr>
            <w:tcW w:w="1821" w:type="dxa"/>
            <w:tcBorders>
              <w:top w:val="nil"/>
              <w:left w:val="nil"/>
              <w:bottom w:val="single" w:sz="4" w:space="0" w:color="auto"/>
              <w:right w:val="single" w:sz="8" w:space="0" w:color="auto"/>
            </w:tcBorders>
            <w:vAlign w:val="center"/>
          </w:tcPr>
          <w:p w:rsidR="006827F2" w:rsidRPr="00E62E22" w:rsidRDefault="00E62E22" w:rsidP="00E62E22">
            <w:pPr>
              <w:jc w:val="right"/>
              <w:textAlignment w:val="center"/>
              <w:rPr>
                <w:rFonts w:ascii="Verdana" w:eastAsia="Times New Roman" w:hAnsi="Verdana"/>
                <w:color w:val="000000"/>
                <w:sz w:val="20"/>
                <w:szCs w:val="20"/>
                <w:lang w:eastAsia="tr-TR"/>
              </w:rPr>
            </w:pPr>
            <w:r>
              <w:rPr>
                <w:rFonts w:ascii="Verdana" w:eastAsia="Times New Roman" w:hAnsi="Verdana"/>
                <w:color w:val="000000"/>
                <w:kern w:val="24"/>
                <w:sz w:val="20"/>
                <w:szCs w:val="20"/>
                <w:lang w:eastAsia="tr-TR"/>
              </w:rPr>
              <w:t>1.010.276</w:t>
            </w:r>
          </w:p>
        </w:tc>
      </w:tr>
      <w:tr w:rsidR="006827F2" w:rsidRPr="00E62E22" w:rsidTr="00E62E22">
        <w:trPr>
          <w:trHeight w:val="260"/>
        </w:trPr>
        <w:tc>
          <w:tcPr>
            <w:tcW w:w="2820" w:type="dxa"/>
            <w:tcBorders>
              <w:top w:val="nil"/>
              <w:left w:val="single" w:sz="8" w:space="0" w:color="auto"/>
              <w:bottom w:val="single" w:sz="4" w:space="0" w:color="auto"/>
              <w:right w:val="single" w:sz="4" w:space="0" w:color="auto"/>
            </w:tcBorders>
            <w:shd w:val="clear" w:color="auto" w:fill="auto"/>
            <w:noWrap/>
            <w:vAlign w:val="center"/>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Avni Çelik</w:t>
            </w:r>
          </w:p>
        </w:tc>
        <w:tc>
          <w:tcPr>
            <w:tcW w:w="1060" w:type="dxa"/>
            <w:tcBorders>
              <w:top w:val="nil"/>
              <w:left w:val="nil"/>
              <w:bottom w:val="single" w:sz="4" w:space="0" w:color="auto"/>
              <w:right w:val="single" w:sz="4" w:space="0" w:color="auto"/>
            </w:tcBorders>
            <w:shd w:val="clear" w:color="auto" w:fill="auto"/>
            <w:noWrap/>
            <w:vAlign w:val="center"/>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B</w:t>
            </w:r>
          </w:p>
        </w:tc>
        <w:tc>
          <w:tcPr>
            <w:tcW w:w="1900" w:type="dxa"/>
            <w:tcBorders>
              <w:top w:val="nil"/>
              <w:left w:val="nil"/>
              <w:bottom w:val="single" w:sz="4" w:space="0" w:color="auto"/>
              <w:right w:val="single" w:sz="4" w:space="0" w:color="auto"/>
            </w:tcBorders>
            <w:shd w:val="clear" w:color="auto" w:fill="auto"/>
            <w:noWrap/>
            <w:vAlign w:val="center"/>
          </w:tcPr>
          <w:p w:rsidR="006827F2" w:rsidRPr="00E62E22" w:rsidRDefault="00E62E22" w:rsidP="00E62E22">
            <w:pPr>
              <w:jc w:val="right"/>
              <w:textAlignment w:val="center"/>
              <w:rPr>
                <w:rFonts w:ascii="Verdana" w:eastAsia="Times New Roman" w:hAnsi="Verdana"/>
                <w:color w:val="000000"/>
                <w:sz w:val="20"/>
                <w:szCs w:val="20"/>
                <w:lang w:eastAsia="tr-TR"/>
              </w:rPr>
            </w:pPr>
            <w:r>
              <w:rPr>
                <w:rFonts w:ascii="Verdana" w:eastAsia="Times New Roman" w:hAnsi="Verdana"/>
                <w:color w:val="000000"/>
                <w:kern w:val="24"/>
                <w:sz w:val="20"/>
                <w:szCs w:val="20"/>
                <w:lang w:eastAsia="tr-TR"/>
              </w:rPr>
              <w:t>23.911.947</w:t>
            </w:r>
          </w:p>
        </w:tc>
        <w:tc>
          <w:tcPr>
            <w:tcW w:w="1890" w:type="dxa"/>
            <w:tcBorders>
              <w:top w:val="nil"/>
              <w:left w:val="nil"/>
              <w:bottom w:val="single" w:sz="4" w:space="0" w:color="auto"/>
              <w:right w:val="single" w:sz="8" w:space="0" w:color="auto"/>
            </w:tcBorders>
            <w:shd w:val="clear" w:color="auto" w:fill="auto"/>
            <w:noWrap/>
            <w:vAlign w:val="center"/>
          </w:tcPr>
          <w:p w:rsidR="006827F2" w:rsidRPr="00E62E22" w:rsidRDefault="00E62E22" w:rsidP="00E62E22">
            <w:pPr>
              <w:jc w:val="right"/>
              <w:rPr>
                <w:rFonts w:ascii="Verdana" w:eastAsia="Times New Roman" w:hAnsi="Verdana"/>
                <w:color w:val="000000"/>
                <w:sz w:val="20"/>
                <w:szCs w:val="20"/>
                <w:lang w:eastAsia="tr-TR"/>
              </w:rPr>
            </w:pPr>
            <w:r>
              <w:rPr>
                <w:rFonts w:ascii="Verdana" w:eastAsia="Times New Roman" w:hAnsi="Verdana"/>
                <w:color w:val="000000"/>
                <w:sz w:val="20"/>
                <w:szCs w:val="20"/>
                <w:lang w:eastAsia="tr-TR"/>
              </w:rPr>
              <w:t>45,99</w:t>
            </w:r>
            <w:r w:rsidR="006827F2" w:rsidRPr="00E62E22">
              <w:rPr>
                <w:rFonts w:ascii="Verdana" w:eastAsia="Times New Roman" w:hAnsi="Verdana"/>
                <w:color w:val="000000"/>
                <w:sz w:val="20"/>
                <w:szCs w:val="20"/>
                <w:lang w:eastAsia="tr-TR"/>
              </w:rPr>
              <w:t>%</w:t>
            </w:r>
          </w:p>
        </w:tc>
        <w:tc>
          <w:tcPr>
            <w:tcW w:w="1821" w:type="dxa"/>
            <w:tcBorders>
              <w:top w:val="nil"/>
              <w:left w:val="nil"/>
              <w:bottom w:val="single" w:sz="4" w:space="0" w:color="auto"/>
              <w:right w:val="single" w:sz="8" w:space="0" w:color="auto"/>
            </w:tcBorders>
            <w:vAlign w:val="center"/>
          </w:tcPr>
          <w:p w:rsidR="006827F2" w:rsidRPr="00E62E22" w:rsidRDefault="00E62E22" w:rsidP="00E62E22">
            <w:pPr>
              <w:jc w:val="right"/>
              <w:textAlignment w:val="center"/>
              <w:rPr>
                <w:rFonts w:ascii="Verdana" w:eastAsia="Times New Roman" w:hAnsi="Verdana"/>
                <w:color w:val="000000"/>
                <w:sz w:val="20"/>
                <w:szCs w:val="20"/>
                <w:lang w:eastAsia="tr-TR"/>
              </w:rPr>
            </w:pPr>
            <w:r>
              <w:rPr>
                <w:rFonts w:ascii="Verdana" w:eastAsia="Times New Roman" w:hAnsi="Verdana"/>
                <w:color w:val="000000"/>
                <w:kern w:val="24"/>
                <w:sz w:val="20"/>
                <w:szCs w:val="20"/>
                <w:lang w:eastAsia="tr-TR"/>
              </w:rPr>
              <w:t>23.911.947</w:t>
            </w:r>
          </w:p>
        </w:tc>
      </w:tr>
      <w:tr w:rsidR="006827F2" w:rsidRPr="00E62E22" w:rsidTr="00E62E22">
        <w:trPr>
          <w:trHeight w:val="26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Ayşe Sibel Çelik</w:t>
            </w:r>
          </w:p>
        </w:tc>
        <w:tc>
          <w:tcPr>
            <w:tcW w:w="1060" w:type="dxa"/>
            <w:tcBorders>
              <w:top w:val="nil"/>
              <w:left w:val="nil"/>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B</w:t>
            </w:r>
          </w:p>
        </w:tc>
        <w:tc>
          <w:tcPr>
            <w:tcW w:w="1900" w:type="dxa"/>
            <w:tcBorders>
              <w:top w:val="nil"/>
              <w:left w:val="nil"/>
              <w:bottom w:val="single" w:sz="4" w:space="0" w:color="auto"/>
              <w:right w:val="single" w:sz="4" w:space="0" w:color="auto"/>
            </w:tcBorders>
            <w:shd w:val="clear" w:color="auto" w:fill="auto"/>
            <w:noWrap/>
            <w:vAlign w:val="center"/>
            <w:hideMark/>
          </w:tcPr>
          <w:p w:rsidR="006827F2" w:rsidRPr="00E62E22" w:rsidRDefault="00E62E22" w:rsidP="00E62E22">
            <w:pPr>
              <w:jc w:val="right"/>
              <w:textAlignment w:val="center"/>
              <w:rPr>
                <w:rFonts w:ascii="Verdana" w:eastAsia="Times New Roman" w:hAnsi="Verdana"/>
                <w:color w:val="000000"/>
                <w:sz w:val="20"/>
                <w:szCs w:val="20"/>
                <w:lang w:eastAsia="tr-TR"/>
              </w:rPr>
            </w:pPr>
            <w:r>
              <w:rPr>
                <w:rFonts w:ascii="Verdana" w:eastAsia="Times New Roman" w:hAnsi="Verdana"/>
                <w:color w:val="000000"/>
                <w:kern w:val="24"/>
                <w:sz w:val="20"/>
                <w:szCs w:val="20"/>
                <w:lang w:eastAsia="tr-TR"/>
              </w:rPr>
              <w:t>7.800.000</w:t>
            </w:r>
          </w:p>
        </w:tc>
        <w:tc>
          <w:tcPr>
            <w:tcW w:w="1890" w:type="dxa"/>
            <w:tcBorders>
              <w:top w:val="nil"/>
              <w:left w:val="nil"/>
              <w:bottom w:val="single" w:sz="4" w:space="0" w:color="auto"/>
              <w:right w:val="single" w:sz="8" w:space="0" w:color="auto"/>
            </w:tcBorders>
            <w:shd w:val="clear" w:color="auto" w:fill="auto"/>
            <w:noWrap/>
            <w:vAlign w:val="center"/>
            <w:hideMark/>
          </w:tcPr>
          <w:p w:rsidR="006827F2" w:rsidRPr="00E62E22" w:rsidRDefault="006827F2" w:rsidP="00E62E22">
            <w:pPr>
              <w:jc w:val="right"/>
              <w:textAlignment w:val="center"/>
              <w:rPr>
                <w:rFonts w:ascii="Verdana" w:eastAsia="Times New Roman" w:hAnsi="Verdana"/>
                <w:sz w:val="20"/>
                <w:szCs w:val="20"/>
                <w:lang w:eastAsia="tr-TR"/>
              </w:rPr>
            </w:pPr>
            <w:r w:rsidRPr="00E62E22">
              <w:rPr>
                <w:rFonts w:ascii="Verdana" w:eastAsia="Times New Roman" w:hAnsi="Verdana"/>
                <w:color w:val="000000"/>
                <w:kern w:val="24"/>
                <w:sz w:val="20"/>
                <w:szCs w:val="20"/>
                <w:lang w:eastAsia="tr-TR"/>
              </w:rPr>
              <w:t>15,00%</w:t>
            </w:r>
          </w:p>
        </w:tc>
        <w:tc>
          <w:tcPr>
            <w:tcW w:w="1821" w:type="dxa"/>
            <w:tcBorders>
              <w:top w:val="nil"/>
              <w:left w:val="nil"/>
              <w:bottom w:val="single" w:sz="4" w:space="0" w:color="auto"/>
              <w:right w:val="single" w:sz="8" w:space="0" w:color="auto"/>
            </w:tcBorders>
            <w:vAlign w:val="center"/>
          </w:tcPr>
          <w:p w:rsidR="006827F2" w:rsidRPr="00E62E22" w:rsidRDefault="00E62E22" w:rsidP="00E62E22">
            <w:pPr>
              <w:jc w:val="right"/>
              <w:textAlignment w:val="center"/>
              <w:rPr>
                <w:rFonts w:ascii="Verdana" w:eastAsia="Times New Roman" w:hAnsi="Verdana"/>
                <w:color w:val="000000"/>
                <w:sz w:val="20"/>
                <w:szCs w:val="20"/>
                <w:lang w:eastAsia="tr-TR"/>
              </w:rPr>
            </w:pPr>
            <w:r>
              <w:rPr>
                <w:rFonts w:ascii="Verdana" w:eastAsia="Times New Roman" w:hAnsi="Verdana"/>
                <w:color w:val="000000"/>
                <w:kern w:val="24"/>
                <w:sz w:val="20"/>
                <w:szCs w:val="20"/>
                <w:lang w:eastAsia="tr-TR"/>
              </w:rPr>
              <w:t>7.800.000</w:t>
            </w:r>
          </w:p>
        </w:tc>
      </w:tr>
      <w:tr w:rsidR="006827F2" w:rsidRPr="00E62E22" w:rsidTr="00E62E22">
        <w:trPr>
          <w:trHeight w:val="278"/>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Ahmet Çelik</w:t>
            </w:r>
          </w:p>
        </w:tc>
        <w:tc>
          <w:tcPr>
            <w:tcW w:w="1060" w:type="dxa"/>
            <w:tcBorders>
              <w:top w:val="nil"/>
              <w:left w:val="nil"/>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B</w:t>
            </w:r>
          </w:p>
        </w:tc>
        <w:tc>
          <w:tcPr>
            <w:tcW w:w="1900" w:type="dxa"/>
            <w:tcBorders>
              <w:top w:val="nil"/>
              <w:left w:val="nil"/>
              <w:bottom w:val="single" w:sz="4" w:space="0" w:color="auto"/>
              <w:right w:val="single" w:sz="4" w:space="0" w:color="auto"/>
            </w:tcBorders>
            <w:shd w:val="clear" w:color="auto" w:fill="auto"/>
            <w:noWrap/>
            <w:vAlign w:val="center"/>
            <w:hideMark/>
          </w:tcPr>
          <w:p w:rsidR="006827F2" w:rsidRPr="00E62E22" w:rsidRDefault="006827F2" w:rsidP="00E62E22">
            <w:pPr>
              <w:jc w:val="right"/>
              <w:textAlignment w:val="center"/>
              <w:rPr>
                <w:rFonts w:ascii="Verdana" w:eastAsia="Times New Roman" w:hAnsi="Verdana"/>
                <w:sz w:val="20"/>
                <w:szCs w:val="20"/>
                <w:lang w:eastAsia="tr-TR"/>
              </w:rPr>
            </w:pPr>
            <w:r w:rsidRPr="00E62E22">
              <w:rPr>
                <w:rFonts w:ascii="Verdana" w:eastAsia="Times New Roman" w:hAnsi="Verdana"/>
                <w:color w:val="000000"/>
                <w:kern w:val="24"/>
                <w:sz w:val="20"/>
                <w:szCs w:val="20"/>
                <w:lang w:eastAsia="tr-TR"/>
              </w:rPr>
              <w:t>4.481.712</w:t>
            </w:r>
          </w:p>
        </w:tc>
        <w:tc>
          <w:tcPr>
            <w:tcW w:w="1890" w:type="dxa"/>
            <w:tcBorders>
              <w:top w:val="nil"/>
              <w:left w:val="nil"/>
              <w:bottom w:val="single" w:sz="4" w:space="0" w:color="auto"/>
              <w:right w:val="single" w:sz="8" w:space="0" w:color="auto"/>
            </w:tcBorders>
            <w:shd w:val="clear" w:color="auto" w:fill="auto"/>
            <w:noWrap/>
            <w:vAlign w:val="center"/>
            <w:hideMark/>
          </w:tcPr>
          <w:p w:rsidR="006827F2" w:rsidRPr="00E62E22" w:rsidRDefault="006827F2" w:rsidP="00E62E22">
            <w:pPr>
              <w:jc w:val="right"/>
              <w:textAlignment w:val="center"/>
              <w:rPr>
                <w:rFonts w:ascii="Verdana" w:eastAsia="Times New Roman" w:hAnsi="Verdana"/>
                <w:sz w:val="20"/>
                <w:szCs w:val="20"/>
                <w:lang w:eastAsia="tr-TR"/>
              </w:rPr>
            </w:pPr>
            <w:r w:rsidRPr="00E62E22">
              <w:rPr>
                <w:rFonts w:ascii="Verdana" w:eastAsia="Times New Roman" w:hAnsi="Verdana"/>
                <w:color w:val="000000"/>
                <w:kern w:val="24"/>
                <w:sz w:val="20"/>
                <w:szCs w:val="20"/>
                <w:lang w:eastAsia="tr-TR"/>
              </w:rPr>
              <w:t>8,62%</w:t>
            </w:r>
          </w:p>
        </w:tc>
        <w:tc>
          <w:tcPr>
            <w:tcW w:w="1821" w:type="dxa"/>
            <w:tcBorders>
              <w:top w:val="nil"/>
              <w:left w:val="nil"/>
              <w:bottom w:val="single" w:sz="4" w:space="0" w:color="auto"/>
              <w:right w:val="single" w:sz="8" w:space="0" w:color="auto"/>
            </w:tcBorders>
            <w:vAlign w:val="center"/>
          </w:tcPr>
          <w:p w:rsidR="006827F2" w:rsidRPr="00E62E22" w:rsidRDefault="006827F2" w:rsidP="00E62E22">
            <w:pPr>
              <w:jc w:val="right"/>
              <w:textAlignment w:val="center"/>
              <w:rPr>
                <w:rFonts w:ascii="Verdana" w:eastAsia="Times New Roman" w:hAnsi="Verdana"/>
                <w:sz w:val="20"/>
                <w:szCs w:val="20"/>
                <w:lang w:eastAsia="tr-TR"/>
              </w:rPr>
            </w:pPr>
            <w:r w:rsidRPr="00E62E22">
              <w:rPr>
                <w:rFonts w:ascii="Verdana" w:eastAsia="Times New Roman" w:hAnsi="Verdana"/>
                <w:color w:val="000000"/>
                <w:kern w:val="24"/>
                <w:sz w:val="20"/>
                <w:szCs w:val="20"/>
                <w:lang w:eastAsia="tr-TR"/>
              </w:rPr>
              <w:t>4.481.712</w:t>
            </w:r>
          </w:p>
        </w:tc>
      </w:tr>
      <w:tr w:rsidR="006827F2" w:rsidRPr="00E62E22" w:rsidTr="00E62E22">
        <w:trPr>
          <w:trHeight w:val="282"/>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Ömer Faruk Çelik</w:t>
            </w:r>
          </w:p>
        </w:tc>
        <w:tc>
          <w:tcPr>
            <w:tcW w:w="1060" w:type="dxa"/>
            <w:tcBorders>
              <w:top w:val="nil"/>
              <w:left w:val="nil"/>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B</w:t>
            </w:r>
          </w:p>
        </w:tc>
        <w:tc>
          <w:tcPr>
            <w:tcW w:w="1900" w:type="dxa"/>
            <w:tcBorders>
              <w:top w:val="nil"/>
              <w:left w:val="nil"/>
              <w:bottom w:val="single" w:sz="4" w:space="0" w:color="auto"/>
              <w:right w:val="single" w:sz="4" w:space="0" w:color="auto"/>
            </w:tcBorders>
            <w:shd w:val="clear" w:color="auto" w:fill="auto"/>
            <w:noWrap/>
            <w:vAlign w:val="center"/>
            <w:hideMark/>
          </w:tcPr>
          <w:p w:rsidR="006827F2" w:rsidRPr="00E62E22" w:rsidRDefault="006827F2" w:rsidP="00E62E22">
            <w:pPr>
              <w:jc w:val="right"/>
              <w:textAlignment w:val="center"/>
              <w:rPr>
                <w:rFonts w:ascii="Verdana" w:eastAsia="Times New Roman" w:hAnsi="Verdana"/>
                <w:sz w:val="20"/>
                <w:szCs w:val="20"/>
                <w:lang w:eastAsia="tr-TR"/>
              </w:rPr>
            </w:pPr>
            <w:r w:rsidRPr="00E62E22">
              <w:rPr>
                <w:rFonts w:ascii="Verdana" w:eastAsia="Times New Roman" w:hAnsi="Verdana"/>
                <w:color w:val="000000"/>
                <w:kern w:val="24"/>
                <w:sz w:val="20"/>
                <w:szCs w:val="20"/>
                <w:lang w:eastAsia="tr-TR"/>
              </w:rPr>
              <w:t>529.350</w:t>
            </w:r>
          </w:p>
        </w:tc>
        <w:tc>
          <w:tcPr>
            <w:tcW w:w="1890" w:type="dxa"/>
            <w:tcBorders>
              <w:top w:val="nil"/>
              <w:left w:val="nil"/>
              <w:bottom w:val="single" w:sz="4" w:space="0" w:color="auto"/>
              <w:right w:val="single" w:sz="8" w:space="0" w:color="auto"/>
            </w:tcBorders>
            <w:shd w:val="clear" w:color="auto" w:fill="auto"/>
            <w:noWrap/>
            <w:vAlign w:val="center"/>
            <w:hideMark/>
          </w:tcPr>
          <w:p w:rsidR="006827F2" w:rsidRPr="00E62E22" w:rsidRDefault="006827F2" w:rsidP="00E62E22">
            <w:pPr>
              <w:jc w:val="right"/>
              <w:textAlignment w:val="center"/>
              <w:rPr>
                <w:rFonts w:ascii="Verdana" w:eastAsia="Times New Roman" w:hAnsi="Verdana"/>
                <w:sz w:val="20"/>
                <w:szCs w:val="20"/>
                <w:lang w:eastAsia="tr-TR"/>
              </w:rPr>
            </w:pPr>
            <w:r w:rsidRPr="00E62E22">
              <w:rPr>
                <w:rFonts w:ascii="Verdana" w:eastAsia="Times New Roman" w:hAnsi="Verdana"/>
                <w:color w:val="000000"/>
                <w:kern w:val="24"/>
                <w:sz w:val="20"/>
                <w:szCs w:val="20"/>
                <w:lang w:eastAsia="tr-TR"/>
              </w:rPr>
              <w:t>1,02%</w:t>
            </w:r>
          </w:p>
        </w:tc>
        <w:tc>
          <w:tcPr>
            <w:tcW w:w="1821" w:type="dxa"/>
            <w:tcBorders>
              <w:top w:val="nil"/>
              <w:left w:val="nil"/>
              <w:bottom w:val="single" w:sz="4" w:space="0" w:color="auto"/>
              <w:right w:val="single" w:sz="8" w:space="0" w:color="auto"/>
            </w:tcBorders>
            <w:vAlign w:val="center"/>
          </w:tcPr>
          <w:p w:rsidR="006827F2" w:rsidRPr="00E62E22" w:rsidRDefault="006827F2" w:rsidP="00E62E22">
            <w:pPr>
              <w:jc w:val="right"/>
              <w:textAlignment w:val="center"/>
              <w:rPr>
                <w:rFonts w:ascii="Verdana" w:eastAsia="Times New Roman" w:hAnsi="Verdana"/>
                <w:sz w:val="20"/>
                <w:szCs w:val="20"/>
                <w:lang w:eastAsia="tr-TR"/>
              </w:rPr>
            </w:pPr>
            <w:r w:rsidRPr="00E62E22">
              <w:rPr>
                <w:rFonts w:ascii="Verdana" w:eastAsia="Times New Roman" w:hAnsi="Verdana"/>
                <w:color w:val="000000"/>
                <w:kern w:val="24"/>
                <w:sz w:val="20"/>
                <w:szCs w:val="20"/>
                <w:lang w:eastAsia="tr-TR"/>
              </w:rPr>
              <w:t>529.350</w:t>
            </w:r>
          </w:p>
        </w:tc>
      </w:tr>
      <w:tr w:rsidR="006827F2" w:rsidRPr="00E62E22" w:rsidTr="00E62E22">
        <w:trPr>
          <w:trHeight w:val="298"/>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Nuran Çelik</w:t>
            </w:r>
          </w:p>
        </w:tc>
        <w:tc>
          <w:tcPr>
            <w:tcW w:w="1060" w:type="dxa"/>
            <w:tcBorders>
              <w:top w:val="nil"/>
              <w:left w:val="nil"/>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B</w:t>
            </w:r>
          </w:p>
        </w:tc>
        <w:tc>
          <w:tcPr>
            <w:tcW w:w="1900" w:type="dxa"/>
            <w:tcBorders>
              <w:top w:val="nil"/>
              <w:left w:val="nil"/>
              <w:bottom w:val="single" w:sz="4" w:space="0" w:color="auto"/>
              <w:right w:val="single" w:sz="4" w:space="0" w:color="auto"/>
            </w:tcBorders>
            <w:shd w:val="clear" w:color="auto" w:fill="auto"/>
            <w:noWrap/>
            <w:vAlign w:val="center"/>
            <w:hideMark/>
          </w:tcPr>
          <w:p w:rsidR="006827F2" w:rsidRPr="00E62E22" w:rsidRDefault="00E62E22" w:rsidP="00E62E22">
            <w:pPr>
              <w:jc w:val="right"/>
              <w:textAlignment w:val="center"/>
              <w:rPr>
                <w:rFonts w:ascii="Verdana" w:eastAsia="Times New Roman" w:hAnsi="Verdana"/>
                <w:sz w:val="20"/>
                <w:szCs w:val="20"/>
                <w:lang w:eastAsia="tr-TR"/>
              </w:rPr>
            </w:pPr>
            <w:r>
              <w:rPr>
                <w:rFonts w:ascii="Verdana" w:eastAsia="Times New Roman" w:hAnsi="Verdana"/>
                <w:color w:val="000000"/>
                <w:kern w:val="24"/>
                <w:sz w:val="20"/>
                <w:szCs w:val="20"/>
                <w:lang w:eastAsia="tr-TR"/>
              </w:rPr>
              <w:t>1.950.000</w:t>
            </w:r>
          </w:p>
        </w:tc>
        <w:tc>
          <w:tcPr>
            <w:tcW w:w="1890" w:type="dxa"/>
            <w:tcBorders>
              <w:top w:val="nil"/>
              <w:left w:val="nil"/>
              <w:bottom w:val="single" w:sz="4" w:space="0" w:color="auto"/>
              <w:right w:val="single" w:sz="8" w:space="0" w:color="auto"/>
            </w:tcBorders>
            <w:shd w:val="clear" w:color="auto" w:fill="auto"/>
            <w:noWrap/>
            <w:vAlign w:val="center"/>
            <w:hideMark/>
          </w:tcPr>
          <w:p w:rsidR="006827F2" w:rsidRPr="00E62E22" w:rsidRDefault="006827F2" w:rsidP="00E62E22">
            <w:pPr>
              <w:jc w:val="right"/>
              <w:textAlignment w:val="center"/>
              <w:rPr>
                <w:rFonts w:ascii="Verdana" w:eastAsia="Times New Roman" w:hAnsi="Verdana"/>
                <w:sz w:val="20"/>
                <w:szCs w:val="20"/>
                <w:lang w:eastAsia="tr-TR"/>
              </w:rPr>
            </w:pPr>
            <w:r w:rsidRPr="00E62E22">
              <w:rPr>
                <w:rFonts w:ascii="Verdana" w:eastAsia="Times New Roman" w:hAnsi="Verdana"/>
                <w:color w:val="000000"/>
                <w:kern w:val="24"/>
                <w:sz w:val="20"/>
                <w:szCs w:val="20"/>
                <w:lang w:eastAsia="tr-TR"/>
              </w:rPr>
              <w:t>3,75%</w:t>
            </w:r>
          </w:p>
        </w:tc>
        <w:tc>
          <w:tcPr>
            <w:tcW w:w="1821" w:type="dxa"/>
            <w:tcBorders>
              <w:top w:val="nil"/>
              <w:left w:val="nil"/>
              <w:bottom w:val="single" w:sz="4" w:space="0" w:color="auto"/>
              <w:right w:val="single" w:sz="8" w:space="0" w:color="auto"/>
            </w:tcBorders>
            <w:vAlign w:val="center"/>
          </w:tcPr>
          <w:p w:rsidR="006827F2" w:rsidRPr="00E62E22" w:rsidRDefault="00E62E22" w:rsidP="00E62E22">
            <w:pPr>
              <w:jc w:val="right"/>
              <w:textAlignment w:val="center"/>
              <w:rPr>
                <w:rFonts w:ascii="Verdana" w:eastAsia="Times New Roman" w:hAnsi="Verdana"/>
                <w:sz w:val="20"/>
                <w:szCs w:val="20"/>
                <w:lang w:eastAsia="tr-TR"/>
              </w:rPr>
            </w:pPr>
            <w:r>
              <w:rPr>
                <w:rFonts w:ascii="Verdana" w:eastAsia="Times New Roman" w:hAnsi="Verdana"/>
                <w:color w:val="000000"/>
                <w:kern w:val="24"/>
                <w:sz w:val="20"/>
                <w:szCs w:val="20"/>
                <w:lang w:eastAsia="tr-TR"/>
              </w:rPr>
              <w:t>1.950.000</w:t>
            </w:r>
          </w:p>
        </w:tc>
      </w:tr>
      <w:tr w:rsidR="006827F2" w:rsidRPr="00E62E22" w:rsidTr="00E62E22">
        <w:trPr>
          <w:trHeight w:val="276"/>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Şenay Çelik</w:t>
            </w:r>
          </w:p>
        </w:tc>
        <w:tc>
          <w:tcPr>
            <w:tcW w:w="1060" w:type="dxa"/>
            <w:tcBorders>
              <w:top w:val="nil"/>
              <w:left w:val="nil"/>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B</w:t>
            </w:r>
          </w:p>
        </w:tc>
        <w:tc>
          <w:tcPr>
            <w:tcW w:w="1900" w:type="dxa"/>
            <w:tcBorders>
              <w:top w:val="nil"/>
              <w:left w:val="nil"/>
              <w:bottom w:val="single" w:sz="4" w:space="0" w:color="auto"/>
              <w:right w:val="single" w:sz="4" w:space="0" w:color="auto"/>
            </w:tcBorders>
            <w:shd w:val="clear" w:color="auto" w:fill="auto"/>
            <w:noWrap/>
            <w:vAlign w:val="center"/>
            <w:hideMark/>
          </w:tcPr>
          <w:p w:rsidR="006827F2" w:rsidRPr="00E62E22" w:rsidRDefault="00E62E22" w:rsidP="00E62E22">
            <w:pPr>
              <w:jc w:val="right"/>
              <w:textAlignment w:val="center"/>
              <w:rPr>
                <w:rFonts w:ascii="Verdana" w:eastAsia="Times New Roman" w:hAnsi="Verdana"/>
                <w:sz w:val="20"/>
                <w:szCs w:val="20"/>
                <w:lang w:eastAsia="tr-TR"/>
              </w:rPr>
            </w:pPr>
            <w:r>
              <w:rPr>
                <w:rFonts w:ascii="Verdana" w:eastAsia="Times New Roman" w:hAnsi="Verdana"/>
                <w:color w:val="000000"/>
                <w:kern w:val="24"/>
                <w:sz w:val="20"/>
                <w:szCs w:val="20"/>
                <w:lang w:eastAsia="tr-TR"/>
              </w:rPr>
              <w:t>1.950.000</w:t>
            </w:r>
          </w:p>
        </w:tc>
        <w:tc>
          <w:tcPr>
            <w:tcW w:w="1890" w:type="dxa"/>
            <w:tcBorders>
              <w:top w:val="nil"/>
              <w:left w:val="nil"/>
              <w:bottom w:val="single" w:sz="4" w:space="0" w:color="auto"/>
              <w:right w:val="single" w:sz="8" w:space="0" w:color="auto"/>
            </w:tcBorders>
            <w:shd w:val="clear" w:color="auto" w:fill="auto"/>
            <w:noWrap/>
            <w:vAlign w:val="center"/>
            <w:hideMark/>
          </w:tcPr>
          <w:p w:rsidR="006827F2" w:rsidRPr="00E62E22" w:rsidRDefault="006827F2" w:rsidP="00E62E22">
            <w:pPr>
              <w:jc w:val="right"/>
              <w:textAlignment w:val="center"/>
              <w:rPr>
                <w:rFonts w:ascii="Verdana" w:eastAsia="Times New Roman" w:hAnsi="Verdana"/>
                <w:sz w:val="20"/>
                <w:szCs w:val="20"/>
                <w:lang w:eastAsia="tr-TR"/>
              </w:rPr>
            </w:pPr>
            <w:r w:rsidRPr="00E62E22">
              <w:rPr>
                <w:rFonts w:ascii="Verdana" w:eastAsia="Times New Roman" w:hAnsi="Verdana"/>
                <w:color w:val="000000"/>
                <w:kern w:val="24"/>
                <w:sz w:val="20"/>
                <w:szCs w:val="20"/>
                <w:lang w:eastAsia="tr-TR"/>
              </w:rPr>
              <w:t>3,75%</w:t>
            </w:r>
          </w:p>
        </w:tc>
        <w:tc>
          <w:tcPr>
            <w:tcW w:w="1821" w:type="dxa"/>
            <w:tcBorders>
              <w:top w:val="nil"/>
              <w:left w:val="nil"/>
              <w:bottom w:val="single" w:sz="4" w:space="0" w:color="auto"/>
              <w:right w:val="single" w:sz="8" w:space="0" w:color="auto"/>
            </w:tcBorders>
            <w:vAlign w:val="center"/>
          </w:tcPr>
          <w:p w:rsidR="006827F2" w:rsidRPr="00E62E22" w:rsidRDefault="00E62E22" w:rsidP="00E62E22">
            <w:pPr>
              <w:jc w:val="right"/>
              <w:textAlignment w:val="center"/>
              <w:rPr>
                <w:rFonts w:ascii="Verdana" w:eastAsia="Times New Roman" w:hAnsi="Verdana"/>
                <w:sz w:val="20"/>
                <w:szCs w:val="20"/>
                <w:lang w:eastAsia="tr-TR"/>
              </w:rPr>
            </w:pPr>
            <w:r>
              <w:rPr>
                <w:rFonts w:ascii="Verdana" w:eastAsia="Times New Roman" w:hAnsi="Verdana"/>
                <w:color w:val="000000"/>
                <w:kern w:val="24"/>
                <w:sz w:val="20"/>
                <w:szCs w:val="20"/>
                <w:lang w:eastAsia="tr-TR"/>
              </w:rPr>
              <w:t>1.950.000</w:t>
            </w:r>
          </w:p>
        </w:tc>
      </w:tr>
      <w:tr w:rsidR="006827F2" w:rsidRPr="00E62E22" w:rsidTr="00E62E22">
        <w:trPr>
          <w:trHeight w:val="267"/>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Berrin Çelik Ercivelek</w:t>
            </w:r>
          </w:p>
        </w:tc>
        <w:tc>
          <w:tcPr>
            <w:tcW w:w="1060" w:type="dxa"/>
            <w:tcBorders>
              <w:top w:val="nil"/>
              <w:left w:val="nil"/>
              <w:bottom w:val="single" w:sz="4" w:space="0" w:color="auto"/>
              <w:right w:val="single" w:sz="4" w:space="0" w:color="auto"/>
            </w:tcBorders>
            <w:shd w:val="clear" w:color="auto" w:fill="auto"/>
            <w:noWrap/>
            <w:vAlign w:val="center"/>
            <w:hideMark/>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B</w:t>
            </w:r>
          </w:p>
        </w:tc>
        <w:tc>
          <w:tcPr>
            <w:tcW w:w="1900" w:type="dxa"/>
            <w:tcBorders>
              <w:top w:val="nil"/>
              <w:left w:val="nil"/>
              <w:bottom w:val="single" w:sz="4" w:space="0" w:color="auto"/>
              <w:right w:val="single" w:sz="4" w:space="0" w:color="auto"/>
            </w:tcBorders>
            <w:shd w:val="clear" w:color="auto" w:fill="auto"/>
            <w:noWrap/>
            <w:vAlign w:val="center"/>
            <w:hideMark/>
          </w:tcPr>
          <w:p w:rsidR="006827F2" w:rsidRPr="00E62E22" w:rsidRDefault="00E62E22" w:rsidP="00E62E22">
            <w:pPr>
              <w:jc w:val="right"/>
              <w:textAlignment w:val="center"/>
              <w:rPr>
                <w:rFonts w:ascii="Verdana" w:eastAsia="Times New Roman" w:hAnsi="Verdana"/>
                <w:sz w:val="20"/>
                <w:szCs w:val="20"/>
                <w:lang w:eastAsia="tr-TR"/>
              </w:rPr>
            </w:pPr>
            <w:r>
              <w:rPr>
                <w:rFonts w:ascii="Verdana" w:eastAsia="Times New Roman" w:hAnsi="Verdana"/>
                <w:color w:val="000000"/>
                <w:kern w:val="24"/>
                <w:sz w:val="20"/>
                <w:szCs w:val="20"/>
                <w:lang w:eastAsia="tr-TR"/>
              </w:rPr>
              <w:t>3.900.000</w:t>
            </w:r>
          </w:p>
        </w:tc>
        <w:tc>
          <w:tcPr>
            <w:tcW w:w="1890" w:type="dxa"/>
            <w:tcBorders>
              <w:top w:val="nil"/>
              <w:left w:val="nil"/>
              <w:bottom w:val="single" w:sz="4" w:space="0" w:color="auto"/>
              <w:right w:val="single" w:sz="8" w:space="0" w:color="auto"/>
            </w:tcBorders>
            <w:shd w:val="clear" w:color="auto" w:fill="auto"/>
            <w:noWrap/>
            <w:vAlign w:val="center"/>
            <w:hideMark/>
          </w:tcPr>
          <w:p w:rsidR="006827F2" w:rsidRPr="00E62E22" w:rsidRDefault="006827F2" w:rsidP="00E62E22">
            <w:pPr>
              <w:jc w:val="right"/>
              <w:textAlignment w:val="center"/>
              <w:rPr>
                <w:rFonts w:ascii="Verdana" w:eastAsia="Times New Roman" w:hAnsi="Verdana"/>
                <w:sz w:val="20"/>
                <w:szCs w:val="20"/>
                <w:lang w:eastAsia="tr-TR"/>
              </w:rPr>
            </w:pPr>
            <w:r w:rsidRPr="00E62E22">
              <w:rPr>
                <w:rFonts w:ascii="Verdana" w:eastAsia="Times New Roman" w:hAnsi="Verdana"/>
                <w:color w:val="000000"/>
                <w:kern w:val="24"/>
                <w:sz w:val="20"/>
                <w:szCs w:val="20"/>
                <w:lang w:eastAsia="tr-TR"/>
              </w:rPr>
              <w:t>7,50%</w:t>
            </w:r>
          </w:p>
        </w:tc>
        <w:tc>
          <w:tcPr>
            <w:tcW w:w="1821" w:type="dxa"/>
            <w:tcBorders>
              <w:top w:val="nil"/>
              <w:left w:val="nil"/>
              <w:bottom w:val="single" w:sz="4" w:space="0" w:color="auto"/>
              <w:right w:val="single" w:sz="8" w:space="0" w:color="auto"/>
            </w:tcBorders>
            <w:vAlign w:val="center"/>
          </w:tcPr>
          <w:p w:rsidR="006827F2" w:rsidRPr="00E62E22" w:rsidRDefault="00E62E22" w:rsidP="00E62E22">
            <w:pPr>
              <w:jc w:val="right"/>
              <w:textAlignment w:val="center"/>
              <w:rPr>
                <w:rFonts w:ascii="Verdana" w:eastAsia="Times New Roman" w:hAnsi="Verdana"/>
                <w:sz w:val="20"/>
                <w:szCs w:val="20"/>
                <w:lang w:eastAsia="tr-TR"/>
              </w:rPr>
            </w:pPr>
            <w:r>
              <w:rPr>
                <w:rFonts w:ascii="Verdana" w:eastAsia="Times New Roman" w:hAnsi="Verdana"/>
                <w:color w:val="000000"/>
                <w:kern w:val="24"/>
                <w:sz w:val="20"/>
                <w:szCs w:val="20"/>
                <w:lang w:eastAsia="tr-TR"/>
              </w:rPr>
              <w:t>3.900.000</w:t>
            </w:r>
          </w:p>
        </w:tc>
      </w:tr>
      <w:tr w:rsidR="006827F2" w:rsidRPr="00E62E22" w:rsidTr="00E62E22">
        <w:trPr>
          <w:trHeight w:val="267"/>
        </w:trPr>
        <w:tc>
          <w:tcPr>
            <w:tcW w:w="2820" w:type="dxa"/>
            <w:tcBorders>
              <w:top w:val="nil"/>
              <w:left w:val="single" w:sz="8" w:space="0" w:color="auto"/>
              <w:bottom w:val="single" w:sz="4" w:space="0" w:color="auto"/>
              <w:right w:val="single" w:sz="4" w:space="0" w:color="auto"/>
            </w:tcBorders>
            <w:shd w:val="clear" w:color="auto" w:fill="auto"/>
            <w:noWrap/>
            <w:vAlign w:val="center"/>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Halka Açık Kısım</w:t>
            </w:r>
          </w:p>
        </w:tc>
        <w:tc>
          <w:tcPr>
            <w:tcW w:w="1060" w:type="dxa"/>
            <w:tcBorders>
              <w:top w:val="nil"/>
              <w:left w:val="nil"/>
              <w:bottom w:val="single" w:sz="4" w:space="0" w:color="auto"/>
              <w:right w:val="single" w:sz="4" w:space="0" w:color="auto"/>
            </w:tcBorders>
            <w:shd w:val="clear" w:color="auto" w:fill="auto"/>
            <w:noWrap/>
            <w:vAlign w:val="center"/>
          </w:tcPr>
          <w:p w:rsidR="006827F2" w:rsidRPr="00E62E22" w:rsidRDefault="006827F2" w:rsidP="00E62E22">
            <w:pPr>
              <w:jc w:val="center"/>
              <w:rPr>
                <w:rFonts w:ascii="Verdana" w:eastAsia="Times New Roman" w:hAnsi="Verdana"/>
                <w:color w:val="000000"/>
                <w:sz w:val="20"/>
                <w:szCs w:val="20"/>
                <w:lang w:eastAsia="tr-TR"/>
              </w:rPr>
            </w:pPr>
            <w:r w:rsidRPr="00E62E22">
              <w:rPr>
                <w:rFonts w:ascii="Verdana" w:eastAsia="Times New Roman" w:hAnsi="Verdana"/>
                <w:color w:val="000000"/>
                <w:sz w:val="20"/>
                <w:szCs w:val="20"/>
                <w:lang w:eastAsia="tr-TR"/>
              </w:rPr>
              <w:t>B</w:t>
            </w:r>
          </w:p>
        </w:tc>
        <w:tc>
          <w:tcPr>
            <w:tcW w:w="1900" w:type="dxa"/>
            <w:tcBorders>
              <w:top w:val="nil"/>
              <w:left w:val="nil"/>
              <w:bottom w:val="single" w:sz="4" w:space="0" w:color="auto"/>
              <w:right w:val="single" w:sz="4" w:space="0" w:color="auto"/>
            </w:tcBorders>
            <w:shd w:val="clear" w:color="auto" w:fill="auto"/>
            <w:noWrap/>
            <w:vAlign w:val="center"/>
          </w:tcPr>
          <w:p w:rsidR="006827F2" w:rsidRPr="00E62E22" w:rsidRDefault="00E62E22" w:rsidP="00E62E22">
            <w:pPr>
              <w:jc w:val="right"/>
              <w:textAlignment w:val="center"/>
              <w:rPr>
                <w:rFonts w:ascii="Verdana" w:eastAsia="Times New Roman" w:hAnsi="Verdana"/>
                <w:color w:val="000000"/>
                <w:kern w:val="24"/>
                <w:sz w:val="20"/>
                <w:szCs w:val="20"/>
                <w:lang w:eastAsia="tr-TR"/>
              </w:rPr>
            </w:pPr>
            <w:r>
              <w:rPr>
                <w:rFonts w:ascii="Verdana" w:eastAsia="Times New Roman" w:hAnsi="Verdana"/>
                <w:color w:val="000000"/>
                <w:kern w:val="24"/>
                <w:sz w:val="20"/>
                <w:szCs w:val="20"/>
                <w:lang w:eastAsia="tr-TR"/>
              </w:rPr>
              <w:t>6.467.165</w:t>
            </w:r>
          </w:p>
        </w:tc>
        <w:tc>
          <w:tcPr>
            <w:tcW w:w="1890" w:type="dxa"/>
            <w:tcBorders>
              <w:top w:val="nil"/>
              <w:left w:val="nil"/>
              <w:bottom w:val="single" w:sz="4" w:space="0" w:color="auto"/>
              <w:right w:val="single" w:sz="8" w:space="0" w:color="auto"/>
            </w:tcBorders>
            <w:shd w:val="clear" w:color="auto" w:fill="auto"/>
            <w:noWrap/>
            <w:vAlign w:val="center"/>
          </w:tcPr>
          <w:p w:rsidR="006827F2" w:rsidRPr="00E62E22" w:rsidRDefault="00E62E22" w:rsidP="00E62E22">
            <w:pPr>
              <w:jc w:val="right"/>
              <w:textAlignment w:val="center"/>
              <w:rPr>
                <w:rFonts w:ascii="Verdana" w:eastAsia="Times New Roman" w:hAnsi="Verdana"/>
                <w:color w:val="000000"/>
                <w:kern w:val="24"/>
                <w:sz w:val="20"/>
                <w:szCs w:val="20"/>
                <w:lang w:eastAsia="tr-TR"/>
              </w:rPr>
            </w:pPr>
            <w:r>
              <w:rPr>
                <w:rFonts w:ascii="Verdana" w:eastAsia="Times New Roman" w:hAnsi="Verdana"/>
                <w:color w:val="000000"/>
                <w:kern w:val="24"/>
                <w:sz w:val="20"/>
                <w:szCs w:val="20"/>
                <w:lang w:eastAsia="tr-TR"/>
              </w:rPr>
              <w:t>12,43</w:t>
            </w:r>
            <w:r w:rsidR="006827F2" w:rsidRPr="00E62E22">
              <w:rPr>
                <w:rFonts w:ascii="Verdana" w:eastAsia="Times New Roman" w:hAnsi="Verdana"/>
                <w:color w:val="000000"/>
                <w:kern w:val="24"/>
                <w:sz w:val="20"/>
                <w:szCs w:val="20"/>
                <w:lang w:eastAsia="tr-TR"/>
              </w:rPr>
              <w:t>%</w:t>
            </w:r>
          </w:p>
        </w:tc>
        <w:tc>
          <w:tcPr>
            <w:tcW w:w="1821" w:type="dxa"/>
            <w:tcBorders>
              <w:top w:val="nil"/>
              <w:left w:val="nil"/>
              <w:bottom w:val="single" w:sz="4" w:space="0" w:color="auto"/>
              <w:right w:val="single" w:sz="8" w:space="0" w:color="auto"/>
            </w:tcBorders>
            <w:vAlign w:val="center"/>
          </w:tcPr>
          <w:p w:rsidR="006827F2" w:rsidRPr="00E62E22" w:rsidRDefault="00E62E22" w:rsidP="00E62E22">
            <w:pPr>
              <w:jc w:val="right"/>
              <w:textAlignment w:val="center"/>
              <w:rPr>
                <w:rFonts w:ascii="Verdana" w:eastAsia="Times New Roman" w:hAnsi="Verdana"/>
                <w:color w:val="000000"/>
                <w:kern w:val="24"/>
                <w:sz w:val="20"/>
                <w:szCs w:val="20"/>
                <w:lang w:eastAsia="tr-TR"/>
              </w:rPr>
            </w:pPr>
            <w:r>
              <w:rPr>
                <w:rFonts w:ascii="Verdana" w:eastAsia="Times New Roman" w:hAnsi="Verdana"/>
                <w:color w:val="000000"/>
                <w:kern w:val="24"/>
                <w:sz w:val="20"/>
                <w:szCs w:val="20"/>
                <w:lang w:eastAsia="tr-TR"/>
              </w:rPr>
              <w:t>6.467.165</w:t>
            </w:r>
          </w:p>
        </w:tc>
      </w:tr>
      <w:tr w:rsidR="00526DE1" w:rsidRPr="00E62E22" w:rsidTr="00E62E22">
        <w:trPr>
          <w:trHeight w:val="345"/>
        </w:trPr>
        <w:tc>
          <w:tcPr>
            <w:tcW w:w="2820" w:type="dxa"/>
            <w:tcBorders>
              <w:top w:val="nil"/>
              <w:left w:val="single" w:sz="8" w:space="0" w:color="auto"/>
              <w:bottom w:val="single" w:sz="8" w:space="0" w:color="auto"/>
              <w:right w:val="single" w:sz="4" w:space="0" w:color="auto"/>
            </w:tcBorders>
            <w:shd w:val="clear" w:color="auto" w:fill="auto"/>
            <w:vAlign w:val="center"/>
          </w:tcPr>
          <w:p w:rsidR="00526DE1" w:rsidRPr="00E62E22" w:rsidRDefault="00526DE1" w:rsidP="00E62E22">
            <w:pPr>
              <w:jc w:val="center"/>
              <w:rPr>
                <w:rFonts w:ascii="Verdana" w:eastAsia="Times New Roman" w:hAnsi="Verdana"/>
                <w:b/>
                <w:bCs/>
                <w:color w:val="000000"/>
                <w:sz w:val="20"/>
                <w:szCs w:val="20"/>
                <w:lang w:eastAsia="tr-TR"/>
              </w:rPr>
            </w:pPr>
            <w:r w:rsidRPr="00E62E22">
              <w:rPr>
                <w:rFonts w:ascii="Verdana" w:eastAsia="Times New Roman" w:hAnsi="Verdana"/>
                <w:b/>
                <w:bCs/>
                <w:color w:val="000000"/>
                <w:sz w:val="20"/>
                <w:szCs w:val="20"/>
                <w:lang w:eastAsia="tr-TR"/>
              </w:rPr>
              <w:t>TOPLAM</w:t>
            </w:r>
          </w:p>
        </w:tc>
        <w:tc>
          <w:tcPr>
            <w:tcW w:w="1060" w:type="dxa"/>
            <w:tcBorders>
              <w:top w:val="nil"/>
              <w:left w:val="nil"/>
              <w:bottom w:val="single" w:sz="8" w:space="0" w:color="auto"/>
              <w:right w:val="single" w:sz="4" w:space="0" w:color="auto"/>
            </w:tcBorders>
            <w:shd w:val="clear" w:color="auto" w:fill="auto"/>
            <w:vAlign w:val="center"/>
          </w:tcPr>
          <w:p w:rsidR="00526DE1" w:rsidRPr="00E62E22" w:rsidRDefault="00526DE1" w:rsidP="00E62E22">
            <w:pPr>
              <w:jc w:val="center"/>
              <w:rPr>
                <w:rFonts w:ascii="Verdana" w:eastAsia="Times New Roman" w:hAnsi="Verdana"/>
                <w:b/>
                <w:bCs/>
                <w:color w:val="000000"/>
                <w:sz w:val="20"/>
                <w:szCs w:val="20"/>
                <w:lang w:eastAsia="tr-TR"/>
              </w:rPr>
            </w:pPr>
            <w:r w:rsidRPr="00E62E22">
              <w:rPr>
                <w:rFonts w:ascii="Verdana" w:eastAsia="Times New Roman" w:hAnsi="Verdana"/>
                <w:b/>
                <w:bCs/>
                <w:color w:val="000000"/>
                <w:sz w:val="20"/>
                <w:szCs w:val="20"/>
                <w:lang w:eastAsia="tr-TR"/>
              </w:rPr>
              <w:t>-</w:t>
            </w:r>
          </w:p>
        </w:tc>
        <w:tc>
          <w:tcPr>
            <w:tcW w:w="1900" w:type="dxa"/>
            <w:tcBorders>
              <w:top w:val="nil"/>
              <w:left w:val="nil"/>
              <w:bottom w:val="single" w:sz="8" w:space="0" w:color="auto"/>
              <w:right w:val="single" w:sz="4" w:space="0" w:color="auto"/>
            </w:tcBorders>
            <w:shd w:val="clear" w:color="auto" w:fill="auto"/>
            <w:vAlign w:val="center"/>
          </w:tcPr>
          <w:p w:rsidR="00526DE1" w:rsidRPr="00E62E22" w:rsidRDefault="00526DE1" w:rsidP="00E62E22">
            <w:pPr>
              <w:jc w:val="center"/>
              <w:textAlignment w:val="center"/>
              <w:rPr>
                <w:rFonts w:ascii="Verdana" w:eastAsia="Times New Roman" w:hAnsi="Verdana"/>
                <w:b/>
                <w:color w:val="000000"/>
                <w:sz w:val="20"/>
                <w:szCs w:val="20"/>
                <w:lang w:eastAsia="tr-TR"/>
              </w:rPr>
            </w:pPr>
            <w:r w:rsidRPr="00E62E22">
              <w:rPr>
                <w:rFonts w:ascii="Verdana" w:eastAsia="Times New Roman" w:hAnsi="Verdana"/>
                <w:b/>
                <w:color w:val="000000"/>
                <w:kern w:val="24"/>
                <w:sz w:val="20"/>
                <w:szCs w:val="20"/>
                <w:lang w:eastAsia="tr-TR"/>
              </w:rPr>
              <w:t>52.000.000,00</w:t>
            </w:r>
          </w:p>
        </w:tc>
        <w:tc>
          <w:tcPr>
            <w:tcW w:w="1890" w:type="dxa"/>
            <w:tcBorders>
              <w:top w:val="nil"/>
              <w:left w:val="nil"/>
              <w:bottom w:val="single" w:sz="8" w:space="0" w:color="auto"/>
              <w:right w:val="single" w:sz="8" w:space="0" w:color="auto"/>
            </w:tcBorders>
            <w:shd w:val="clear" w:color="auto" w:fill="auto"/>
            <w:vAlign w:val="center"/>
          </w:tcPr>
          <w:p w:rsidR="00526DE1" w:rsidRPr="00E62E22" w:rsidRDefault="00526DE1" w:rsidP="00E62E22">
            <w:pPr>
              <w:jc w:val="center"/>
              <w:rPr>
                <w:rFonts w:ascii="Verdana" w:eastAsia="Times New Roman" w:hAnsi="Verdana"/>
                <w:b/>
                <w:bCs/>
                <w:color w:val="000000"/>
                <w:sz w:val="20"/>
                <w:szCs w:val="20"/>
                <w:lang w:eastAsia="tr-TR"/>
              </w:rPr>
            </w:pPr>
            <w:r w:rsidRPr="00E62E22">
              <w:rPr>
                <w:rFonts w:ascii="Verdana" w:eastAsia="Times New Roman" w:hAnsi="Verdana"/>
                <w:b/>
                <w:bCs/>
                <w:color w:val="000000"/>
                <w:sz w:val="20"/>
                <w:szCs w:val="20"/>
                <w:lang w:eastAsia="tr-TR"/>
              </w:rPr>
              <w:t>100.00%</w:t>
            </w:r>
          </w:p>
        </w:tc>
        <w:tc>
          <w:tcPr>
            <w:tcW w:w="1821" w:type="dxa"/>
            <w:tcBorders>
              <w:top w:val="nil"/>
              <w:left w:val="nil"/>
              <w:bottom w:val="single" w:sz="8" w:space="0" w:color="auto"/>
              <w:right w:val="single" w:sz="8" w:space="0" w:color="auto"/>
            </w:tcBorders>
            <w:vAlign w:val="center"/>
          </w:tcPr>
          <w:p w:rsidR="00526DE1" w:rsidRPr="00E62E22" w:rsidRDefault="004837A7" w:rsidP="00E62E22">
            <w:pPr>
              <w:jc w:val="center"/>
              <w:rPr>
                <w:rFonts w:ascii="Verdana" w:eastAsia="Times New Roman" w:hAnsi="Verdana"/>
                <w:b/>
                <w:bCs/>
                <w:color w:val="000000"/>
                <w:sz w:val="20"/>
                <w:szCs w:val="20"/>
                <w:lang w:eastAsia="tr-TR"/>
              </w:rPr>
            </w:pPr>
            <w:r w:rsidRPr="00E62E22">
              <w:rPr>
                <w:rFonts w:ascii="Verdana" w:eastAsia="Times New Roman" w:hAnsi="Verdana"/>
                <w:b/>
                <w:color w:val="000000"/>
                <w:kern w:val="24"/>
                <w:sz w:val="20"/>
                <w:szCs w:val="20"/>
                <w:lang w:eastAsia="tr-TR"/>
              </w:rPr>
              <w:t>52.000.000,00</w:t>
            </w:r>
          </w:p>
        </w:tc>
      </w:tr>
      <w:tr w:rsidR="00526DE1" w:rsidRPr="00E62E22" w:rsidTr="005F4B71">
        <w:trPr>
          <w:trHeight w:val="345"/>
        </w:trPr>
        <w:tc>
          <w:tcPr>
            <w:tcW w:w="9491" w:type="dxa"/>
            <w:gridSpan w:val="5"/>
            <w:tcBorders>
              <w:top w:val="nil"/>
              <w:left w:val="single" w:sz="8" w:space="0" w:color="auto"/>
              <w:bottom w:val="single" w:sz="8" w:space="0" w:color="auto"/>
              <w:right w:val="single" w:sz="8" w:space="0" w:color="auto"/>
            </w:tcBorders>
            <w:shd w:val="clear" w:color="auto" w:fill="auto"/>
          </w:tcPr>
          <w:p w:rsidR="00526DE1" w:rsidRPr="00E62E22" w:rsidRDefault="00526DE1" w:rsidP="00C22E13">
            <w:pPr>
              <w:rPr>
                <w:rFonts w:ascii="Verdana" w:eastAsia="Times New Roman" w:hAnsi="Verdana"/>
                <w:bCs/>
                <w:color w:val="000000"/>
                <w:sz w:val="20"/>
                <w:szCs w:val="20"/>
                <w:lang w:eastAsia="tr-TR"/>
              </w:rPr>
            </w:pPr>
            <w:r w:rsidRPr="00E62E22">
              <w:rPr>
                <w:rFonts w:ascii="Verdana" w:eastAsia="Times New Roman" w:hAnsi="Verdana"/>
                <w:bCs/>
                <w:color w:val="000000"/>
                <w:sz w:val="20"/>
                <w:szCs w:val="20"/>
                <w:lang w:eastAsia="tr-TR"/>
              </w:rPr>
              <w:t xml:space="preserve">Her bir </w:t>
            </w:r>
            <w:r w:rsidR="000B1A5C" w:rsidRPr="00E62E22">
              <w:rPr>
                <w:rFonts w:ascii="Verdana" w:eastAsia="Times New Roman" w:hAnsi="Verdana"/>
                <w:bCs/>
                <w:color w:val="000000"/>
                <w:sz w:val="20"/>
                <w:szCs w:val="20"/>
                <w:lang w:eastAsia="tr-TR"/>
              </w:rPr>
              <w:t xml:space="preserve">pay </w:t>
            </w:r>
            <w:r w:rsidRPr="00E62E22">
              <w:rPr>
                <w:rFonts w:ascii="Verdana" w:eastAsia="Times New Roman" w:hAnsi="Verdana"/>
                <w:bCs/>
                <w:color w:val="000000"/>
                <w:sz w:val="20"/>
                <w:szCs w:val="20"/>
                <w:lang w:eastAsia="tr-TR"/>
              </w:rPr>
              <w:t>Genel Kurul toplantısında 1 oy hakkına sahiptir.</w:t>
            </w:r>
          </w:p>
          <w:p w:rsidR="00526DE1" w:rsidRPr="00E62E22" w:rsidRDefault="00994EED" w:rsidP="00994EED">
            <w:pPr>
              <w:rPr>
                <w:rFonts w:ascii="Verdana" w:eastAsia="Times New Roman" w:hAnsi="Verdana"/>
                <w:b/>
                <w:bCs/>
                <w:color w:val="000000"/>
                <w:sz w:val="20"/>
                <w:szCs w:val="20"/>
                <w:lang w:eastAsia="tr-TR"/>
              </w:rPr>
            </w:pPr>
            <w:r w:rsidRPr="00E62E22">
              <w:rPr>
                <w:rFonts w:ascii="Verdana" w:eastAsia="Times New Roman" w:hAnsi="Verdana"/>
                <w:bCs/>
                <w:color w:val="000000"/>
                <w:sz w:val="20"/>
                <w:szCs w:val="20"/>
                <w:lang w:eastAsia="tr-TR"/>
              </w:rPr>
              <w:t>A grubu payların yönetim kurulu üyelerinin seçiminde aday gösterme imtiyazı vardır. Toplam 6 kişiden oluşan yönetim kurulunun üyelerinin 4 adedi A Grubu pay sahiplerinin çoğunlukla gösterdiği adaylar arasından olmak üzere, genel kurul tarafından seçilir.</w:t>
            </w:r>
          </w:p>
        </w:tc>
      </w:tr>
    </w:tbl>
    <w:p w:rsidR="00195146" w:rsidRPr="00E62E22" w:rsidRDefault="00195146" w:rsidP="00195146">
      <w:pPr>
        <w:rPr>
          <w:rFonts w:ascii="Verdana" w:hAnsi="Verdana"/>
          <w:b/>
          <w:bCs/>
          <w:sz w:val="20"/>
          <w:szCs w:val="20"/>
        </w:rPr>
      </w:pPr>
    </w:p>
    <w:p w:rsidR="00526DE1" w:rsidRPr="00E62E22" w:rsidRDefault="00526DE1" w:rsidP="00195146">
      <w:pPr>
        <w:rPr>
          <w:rFonts w:ascii="Verdana" w:hAnsi="Verdana"/>
          <w:b/>
          <w:bCs/>
          <w:sz w:val="20"/>
          <w:szCs w:val="20"/>
        </w:rPr>
      </w:pPr>
    </w:p>
    <w:p w:rsidR="00526DE1" w:rsidRPr="00E62E22" w:rsidRDefault="00526DE1" w:rsidP="00195146">
      <w:pPr>
        <w:rPr>
          <w:rFonts w:ascii="Verdana" w:hAnsi="Verdana"/>
          <w:b/>
          <w:bCs/>
          <w:sz w:val="20"/>
          <w:szCs w:val="20"/>
        </w:rPr>
      </w:pPr>
    </w:p>
    <w:p w:rsidR="00195146" w:rsidRPr="00E62E22" w:rsidRDefault="00195146" w:rsidP="00526DE1">
      <w:pPr>
        <w:jc w:val="both"/>
        <w:rPr>
          <w:rFonts w:ascii="Verdana" w:hAnsi="Verdana"/>
          <w:b/>
          <w:bCs/>
          <w:sz w:val="20"/>
          <w:szCs w:val="20"/>
        </w:rPr>
      </w:pPr>
      <w:r w:rsidRPr="00E62E22">
        <w:rPr>
          <w:rFonts w:ascii="Verdana" w:hAnsi="Verdana"/>
          <w:b/>
          <w:bCs/>
          <w:sz w:val="20"/>
          <w:szCs w:val="20"/>
        </w:rPr>
        <w:t>C) Şirketin geçmiş hesap döneminde gerçekleşen veya gelecek hesap dönemlerinde planladığı ortaklık faaliyetlerini önemli ölçüde etkileyecek yönetim ve faaliyetlerindeki değişiklikler ve bu değişikliklerin gerekçeleri hakkında bilgi.</w:t>
      </w:r>
    </w:p>
    <w:p w:rsidR="00AC6FEF" w:rsidRPr="00E62E22" w:rsidRDefault="00AC6FEF">
      <w:pPr>
        <w:rPr>
          <w:rFonts w:ascii="Verdana" w:hAnsi="Verdana"/>
          <w:sz w:val="20"/>
          <w:szCs w:val="20"/>
        </w:rPr>
      </w:pPr>
    </w:p>
    <w:p w:rsidR="00195146" w:rsidRPr="00E62E22" w:rsidRDefault="00195146">
      <w:pPr>
        <w:rPr>
          <w:rFonts w:ascii="Verdana" w:hAnsi="Verdana"/>
          <w:sz w:val="20"/>
          <w:szCs w:val="20"/>
        </w:rPr>
      </w:pPr>
      <w:r w:rsidRPr="00E62E22">
        <w:rPr>
          <w:rFonts w:ascii="Verdana" w:hAnsi="Verdana"/>
          <w:sz w:val="20"/>
          <w:szCs w:val="20"/>
        </w:rPr>
        <w:t>Yoktur</w:t>
      </w:r>
    </w:p>
    <w:p w:rsidR="00195146" w:rsidRPr="00E62E22" w:rsidRDefault="00195146">
      <w:pPr>
        <w:rPr>
          <w:rFonts w:ascii="Verdana" w:hAnsi="Verdana"/>
          <w:sz w:val="20"/>
          <w:szCs w:val="20"/>
        </w:rPr>
      </w:pPr>
    </w:p>
    <w:p w:rsidR="00195146" w:rsidRPr="00E62E22" w:rsidRDefault="00195146" w:rsidP="00526DE1">
      <w:pPr>
        <w:jc w:val="both"/>
        <w:rPr>
          <w:rFonts w:ascii="Verdana" w:hAnsi="Verdana"/>
          <w:b/>
          <w:sz w:val="20"/>
          <w:szCs w:val="20"/>
        </w:rPr>
      </w:pPr>
      <w:proofErr w:type="gramStart"/>
      <w:r w:rsidRPr="00E62E22">
        <w:rPr>
          <w:rFonts w:ascii="Verdana" w:hAnsi="Verdana"/>
          <w:b/>
          <w:sz w:val="20"/>
          <w:szCs w:val="20"/>
        </w:rPr>
        <w:t xml:space="preserve">D)  Genel kurul toplantı gündeminde yönetim kurulu üyelerinin azli, değiştirilmesi veya seçimi varsa; azil ve değiştirme gerekçeleri, yönetim kurulu üyeliği adaylığı ortaklığa iletilen kişilerin; özgeçmişleri, son on yıl içerisinde yürüttüğü görevler ve ayrılma nedenleri, ortaklık ve ortaklığın ilişkili tarafları ile ilişkisinin niteliği ve önemlilik düzeyi, bağımsızlık niteliğine sahip olup olmadığı ve bu kişilerin yönetim kurulu üyesi seçilmesi durumunda, ortaklık faaliyetlerini etkileyebilecek benzeri hususlar hakkında bilgi. </w:t>
      </w:r>
      <w:proofErr w:type="gramEnd"/>
    </w:p>
    <w:p w:rsidR="00195146" w:rsidRPr="00E62E22" w:rsidRDefault="00195146">
      <w:pPr>
        <w:rPr>
          <w:rFonts w:ascii="Verdana" w:hAnsi="Verdana"/>
          <w:sz w:val="20"/>
          <w:szCs w:val="20"/>
        </w:rPr>
      </w:pPr>
    </w:p>
    <w:p w:rsidR="009044FF" w:rsidRPr="00E62E22" w:rsidRDefault="00344819" w:rsidP="00526DE1">
      <w:pPr>
        <w:jc w:val="both"/>
        <w:rPr>
          <w:rFonts w:ascii="Verdana" w:hAnsi="Verdana"/>
          <w:sz w:val="20"/>
          <w:szCs w:val="20"/>
        </w:rPr>
      </w:pPr>
      <w:r w:rsidRPr="00E62E22">
        <w:rPr>
          <w:rFonts w:ascii="Verdana" w:hAnsi="Verdana"/>
          <w:sz w:val="20"/>
          <w:szCs w:val="20"/>
        </w:rPr>
        <w:t xml:space="preserve">Yönetim Kurulu’nun görev süresi dolacağından yeni Yönetim Kurulu </w:t>
      </w:r>
      <w:r w:rsidR="00C77515" w:rsidRPr="00E62E22">
        <w:rPr>
          <w:rFonts w:ascii="Verdana" w:hAnsi="Verdana"/>
          <w:sz w:val="20"/>
          <w:szCs w:val="20"/>
        </w:rPr>
        <w:t>Ü</w:t>
      </w:r>
      <w:r w:rsidRPr="00E62E22">
        <w:rPr>
          <w:rFonts w:ascii="Verdana" w:hAnsi="Verdana"/>
          <w:sz w:val="20"/>
          <w:szCs w:val="20"/>
        </w:rPr>
        <w:t xml:space="preserve">yeleri seçilecektir. </w:t>
      </w:r>
      <w:r w:rsidR="00E62E22">
        <w:rPr>
          <w:rFonts w:ascii="Verdana" w:hAnsi="Verdana"/>
          <w:sz w:val="20"/>
          <w:szCs w:val="20"/>
        </w:rPr>
        <w:t>31</w:t>
      </w:r>
      <w:r w:rsidR="00FD3FD0" w:rsidRPr="00E62E22">
        <w:rPr>
          <w:rFonts w:ascii="Verdana" w:hAnsi="Verdana"/>
          <w:sz w:val="20"/>
          <w:szCs w:val="20"/>
        </w:rPr>
        <w:t xml:space="preserve"> </w:t>
      </w:r>
      <w:r w:rsidR="00E62E22">
        <w:rPr>
          <w:rFonts w:ascii="Verdana" w:hAnsi="Verdana"/>
          <w:sz w:val="20"/>
          <w:szCs w:val="20"/>
        </w:rPr>
        <w:t>Mart 2016</w:t>
      </w:r>
      <w:r w:rsidRPr="00E62E22">
        <w:rPr>
          <w:rFonts w:ascii="Verdana" w:hAnsi="Verdana"/>
          <w:sz w:val="20"/>
          <w:szCs w:val="20"/>
        </w:rPr>
        <w:t xml:space="preserve"> </w:t>
      </w:r>
      <w:r w:rsidR="00C77515" w:rsidRPr="00E62E22">
        <w:rPr>
          <w:rFonts w:ascii="Verdana" w:hAnsi="Verdana"/>
          <w:sz w:val="20"/>
          <w:szCs w:val="20"/>
        </w:rPr>
        <w:t xml:space="preserve">tarihi </w:t>
      </w:r>
      <w:r w:rsidRPr="00E62E22">
        <w:rPr>
          <w:rFonts w:ascii="Verdana" w:hAnsi="Verdana"/>
          <w:sz w:val="20"/>
          <w:szCs w:val="20"/>
        </w:rPr>
        <w:t xml:space="preserve">itibariyle ortaklığımıza iletilen bir yönetim kurulu adaylığı bulunmamaktadır. Adaylar ortaklığımıza iletildiğinde </w:t>
      </w:r>
      <w:hyperlink r:id="rId6" w:history="1">
        <w:r w:rsidRPr="00E62E22">
          <w:rPr>
            <w:rStyle w:val="Kpr"/>
            <w:rFonts w:ascii="Verdana" w:hAnsi="Verdana"/>
            <w:sz w:val="20"/>
            <w:szCs w:val="20"/>
          </w:rPr>
          <w:t>www.servetgyo.com.tr</w:t>
        </w:r>
      </w:hyperlink>
      <w:r w:rsidRPr="00E62E22">
        <w:rPr>
          <w:rFonts w:ascii="Verdana" w:hAnsi="Verdana"/>
          <w:sz w:val="20"/>
          <w:szCs w:val="20"/>
        </w:rPr>
        <w:t xml:space="preserve"> adresindeki web sitemizde ve Kamuyu Aydınlatma Platformu’nda Yönetim Kurulu adayları hakkında bilgi verilecektir.</w:t>
      </w:r>
    </w:p>
    <w:p w:rsidR="009044FF" w:rsidRPr="00E62E22" w:rsidRDefault="009044FF">
      <w:pPr>
        <w:rPr>
          <w:rFonts w:ascii="Verdana" w:hAnsi="Verdana"/>
          <w:sz w:val="20"/>
          <w:szCs w:val="20"/>
        </w:rPr>
      </w:pPr>
    </w:p>
    <w:p w:rsidR="00195146" w:rsidRPr="00E62E22" w:rsidRDefault="009044FF" w:rsidP="00526DE1">
      <w:pPr>
        <w:jc w:val="both"/>
        <w:rPr>
          <w:rFonts w:ascii="Verdana" w:hAnsi="Verdana"/>
          <w:b/>
          <w:sz w:val="20"/>
          <w:szCs w:val="20"/>
        </w:rPr>
      </w:pPr>
      <w:r w:rsidRPr="00E62E22">
        <w:rPr>
          <w:rFonts w:ascii="Verdana" w:hAnsi="Verdana"/>
          <w:b/>
          <w:sz w:val="20"/>
          <w:szCs w:val="20"/>
        </w:rPr>
        <w:t>E)</w:t>
      </w:r>
      <w:r w:rsidRPr="00E62E22">
        <w:rPr>
          <w:rFonts w:ascii="Verdana" w:hAnsi="Verdana"/>
          <w:sz w:val="20"/>
          <w:szCs w:val="20"/>
        </w:rPr>
        <w:t xml:space="preserve"> </w:t>
      </w:r>
      <w:r w:rsidR="00526DE1" w:rsidRPr="00E62E22">
        <w:rPr>
          <w:rFonts w:ascii="Verdana" w:hAnsi="Verdana"/>
          <w:sz w:val="20"/>
          <w:szCs w:val="20"/>
        </w:rPr>
        <w:t xml:space="preserve"> </w:t>
      </w:r>
      <w:r w:rsidR="00526DE1" w:rsidRPr="00E62E22">
        <w:rPr>
          <w:rFonts w:ascii="Verdana" w:hAnsi="Verdana"/>
          <w:b/>
          <w:sz w:val="20"/>
          <w:szCs w:val="20"/>
        </w:rPr>
        <w:t>Pay sahiplerinin, Sermaye Piyasası Kurulu (SPK)’</w:t>
      </w:r>
      <w:proofErr w:type="spellStart"/>
      <w:r w:rsidR="00526DE1" w:rsidRPr="00E62E22">
        <w:rPr>
          <w:rFonts w:ascii="Verdana" w:hAnsi="Verdana"/>
          <w:b/>
          <w:sz w:val="20"/>
          <w:szCs w:val="20"/>
        </w:rPr>
        <w:t>nun</w:t>
      </w:r>
      <w:proofErr w:type="spellEnd"/>
      <w:r w:rsidR="00526DE1" w:rsidRPr="00E62E22">
        <w:rPr>
          <w:rFonts w:ascii="Verdana" w:hAnsi="Verdana"/>
          <w:b/>
          <w:sz w:val="20"/>
          <w:szCs w:val="20"/>
        </w:rPr>
        <w:t xml:space="preserve"> ve/veya şirketin ilgili olduğu diğer kamu kurum ve kuruluşlarının gündeme madde konulmasına ilişkin talepleri</w:t>
      </w:r>
    </w:p>
    <w:p w:rsidR="009044FF" w:rsidRPr="00E62E22" w:rsidRDefault="009044FF">
      <w:pPr>
        <w:rPr>
          <w:rFonts w:ascii="Verdana" w:hAnsi="Verdana"/>
          <w:b/>
          <w:sz w:val="20"/>
          <w:szCs w:val="20"/>
        </w:rPr>
      </w:pPr>
    </w:p>
    <w:p w:rsidR="009044FF" w:rsidRPr="00E62E22" w:rsidRDefault="009044FF" w:rsidP="00526DE1">
      <w:pPr>
        <w:jc w:val="both"/>
        <w:rPr>
          <w:rFonts w:ascii="Verdana" w:hAnsi="Verdana"/>
          <w:sz w:val="20"/>
          <w:szCs w:val="20"/>
        </w:rPr>
      </w:pPr>
      <w:r w:rsidRPr="00E62E22">
        <w:rPr>
          <w:rFonts w:ascii="Verdana" w:hAnsi="Verdana"/>
          <w:sz w:val="20"/>
          <w:szCs w:val="20"/>
        </w:rPr>
        <w:t>Şirketimize ulaşan herhangi bir talep bulunmamaktadır.</w:t>
      </w:r>
    </w:p>
    <w:p w:rsidR="009044FF" w:rsidRPr="00E62E22" w:rsidRDefault="009044FF">
      <w:pPr>
        <w:rPr>
          <w:rFonts w:ascii="Verdana" w:hAnsi="Verdana"/>
          <w:sz w:val="20"/>
          <w:szCs w:val="20"/>
        </w:rPr>
      </w:pPr>
    </w:p>
    <w:p w:rsidR="009044FF" w:rsidRPr="00E62E22" w:rsidRDefault="009044FF" w:rsidP="00526DE1">
      <w:pPr>
        <w:jc w:val="both"/>
        <w:rPr>
          <w:rFonts w:ascii="Verdana" w:hAnsi="Verdana"/>
          <w:b/>
          <w:sz w:val="20"/>
          <w:szCs w:val="20"/>
        </w:rPr>
      </w:pPr>
      <w:r w:rsidRPr="00E62E22">
        <w:rPr>
          <w:rFonts w:ascii="Verdana" w:hAnsi="Verdana"/>
          <w:b/>
          <w:sz w:val="20"/>
          <w:szCs w:val="20"/>
        </w:rPr>
        <w:t>F)</w:t>
      </w:r>
      <w:r w:rsidRPr="00E62E22">
        <w:rPr>
          <w:rFonts w:ascii="Verdana" w:hAnsi="Verdana"/>
          <w:color w:val="000000"/>
          <w:sz w:val="20"/>
          <w:szCs w:val="20"/>
        </w:rPr>
        <w:t xml:space="preserve"> </w:t>
      </w:r>
      <w:r w:rsidRPr="00E62E22">
        <w:rPr>
          <w:rFonts w:ascii="Verdana" w:hAnsi="Verdana"/>
          <w:b/>
          <w:sz w:val="20"/>
          <w:szCs w:val="20"/>
        </w:rPr>
        <w:t>Gündemde esas sözleşme değişikliği olması durumunda ilgili yönetim kurulu kararı ile birlikte, esas sözleşme değişikliklerinin eski ve yeni şekilleri.</w:t>
      </w:r>
    </w:p>
    <w:p w:rsidR="009044FF" w:rsidRPr="00E62E22" w:rsidRDefault="009044FF">
      <w:pPr>
        <w:rPr>
          <w:rFonts w:ascii="Verdana" w:hAnsi="Verdana"/>
          <w:b/>
          <w:sz w:val="20"/>
          <w:szCs w:val="20"/>
        </w:rPr>
      </w:pPr>
    </w:p>
    <w:p w:rsidR="009044FF" w:rsidRPr="00E62E22" w:rsidRDefault="00526DE1" w:rsidP="00526DE1">
      <w:pPr>
        <w:jc w:val="both"/>
        <w:rPr>
          <w:rFonts w:ascii="Verdana" w:hAnsi="Verdana"/>
          <w:sz w:val="20"/>
          <w:szCs w:val="20"/>
        </w:rPr>
      </w:pPr>
      <w:r w:rsidRPr="00E62E22">
        <w:rPr>
          <w:rFonts w:ascii="Verdana" w:hAnsi="Verdana"/>
          <w:sz w:val="20"/>
          <w:szCs w:val="20"/>
        </w:rPr>
        <w:t xml:space="preserve">Gündemde esas sözleşme değişikliği yoktur. </w:t>
      </w:r>
    </w:p>
    <w:p w:rsidR="009044FF" w:rsidRPr="00E62E22" w:rsidRDefault="009044FF">
      <w:pPr>
        <w:rPr>
          <w:rFonts w:ascii="Verdana" w:hAnsi="Verdana"/>
          <w:sz w:val="20"/>
          <w:szCs w:val="20"/>
        </w:rPr>
      </w:pPr>
    </w:p>
    <w:sectPr w:rsidR="009044FF" w:rsidRPr="00E62E22" w:rsidSect="00526DE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19C"/>
    <w:multiLevelType w:val="hybridMultilevel"/>
    <w:tmpl w:val="DCE27C10"/>
    <w:lvl w:ilvl="0" w:tplc="F09C5A46">
      <w:start w:val="1"/>
      <w:numFmt w:val="decimal"/>
      <w:lvlText w:val="%1."/>
      <w:lvlJc w:val="left"/>
      <w:pPr>
        <w:tabs>
          <w:tab w:val="num" w:pos="720"/>
        </w:tabs>
        <w:ind w:left="720" w:hanging="360"/>
      </w:pPr>
      <w:rPr>
        <w:rFonts w:ascii="Verdana" w:eastAsiaTheme="minorHAnsi" w:hAnsi="Verdana" w:cs="Times New Roman"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26AB370F"/>
    <w:multiLevelType w:val="hybridMultilevel"/>
    <w:tmpl w:val="A99067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0CC4AF5"/>
    <w:multiLevelType w:val="hybridMultilevel"/>
    <w:tmpl w:val="6E8C9066"/>
    <w:lvl w:ilvl="0" w:tplc="0ADAA8AA">
      <w:start w:val="1"/>
      <w:numFmt w:val="decimal"/>
      <w:lvlText w:val="%1."/>
      <w:lvlJc w:val="left"/>
      <w:pPr>
        <w:tabs>
          <w:tab w:val="num" w:pos="720"/>
        </w:tabs>
        <w:ind w:left="720" w:hanging="360"/>
      </w:pPr>
      <w:rPr>
        <w:rFonts w:ascii="Times New Roman" w:eastAsiaTheme="minorHAnsi" w:hAnsi="Times New Roman" w:cs="Times New Roman"/>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786935F9"/>
    <w:multiLevelType w:val="hybridMultilevel"/>
    <w:tmpl w:val="83F83CB8"/>
    <w:lvl w:ilvl="0" w:tplc="1F263D48">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6C"/>
    <w:rsid w:val="00074E86"/>
    <w:rsid w:val="000B1A5C"/>
    <w:rsid w:val="000C3381"/>
    <w:rsid w:val="00195146"/>
    <w:rsid w:val="002514FB"/>
    <w:rsid w:val="00256DB9"/>
    <w:rsid w:val="00316FF5"/>
    <w:rsid w:val="0033606C"/>
    <w:rsid w:val="00344819"/>
    <w:rsid w:val="00344D05"/>
    <w:rsid w:val="00363938"/>
    <w:rsid w:val="003B2428"/>
    <w:rsid w:val="00467754"/>
    <w:rsid w:val="004837A7"/>
    <w:rsid w:val="00500535"/>
    <w:rsid w:val="00526DE1"/>
    <w:rsid w:val="00552D90"/>
    <w:rsid w:val="005B6D36"/>
    <w:rsid w:val="005F4B71"/>
    <w:rsid w:val="006827F2"/>
    <w:rsid w:val="00695711"/>
    <w:rsid w:val="006B16E8"/>
    <w:rsid w:val="007719E1"/>
    <w:rsid w:val="009044FF"/>
    <w:rsid w:val="009931B3"/>
    <w:rsid w:val="00994EED"/>
    <w:rsid w:val="00995E7A"/>
    <w:rsid w:val="009D5B8B"/>
    <w:rsid w:val="009D7115"/>
    <w:rsid w:val="00A3156B"/>
    <w:rsid w:val="00A5346C"/>
    <w:rsid w:val="00A7799A"/>
    <w:rsid w:val="00AA4883"/>
    <w:rsid w:val="00AB48F9"/>
    <w:rsid w:val="00AC6FEF"/>
    <w:rsid w:val="00C20588"/>
    <w:rsid w:val="00C232B5"/>
    <w:rsid w:val="00C25706"/>
    <w:rsid w:val="00C77515"/>
    <w:rsid w:val="00C856FA"/>
    <w:rsid w:val="00C93C4C"/>
    <w:rsid w:val="00CC5A23"/>
    <w:rsid w:val="00E0102D"/>
    <w:rsid w:val="00E62E22"/>
    <w:rsid w:val="00EF5CF3"/>
    <w:rsid w:val="00F21ACA"/>
    <w:rsid w:val="00FB3BE3"/>
    <w:rsid w:val="00FD3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6C"/>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346C"/>
    <w:pPr>
      <w:ind w:left="720"/>
      <w:contextualSpacing/>
    </w:pPr>
    <w:rPr>
      <w:rFonts w:ascii="Arial" w:hAnsi="Arial" w:cs="Arial"/>
      <w:sz w:val="24"/>
      <w:szCs w:val="24"/>
      <w:lang w:eastAsia="tr-TR"/>
    </w:rPr>
  </w:style>
  <w:style w:type="paragraph" w:customStyle="1" w:styleId="Text">
    <w:name w:val="Text"/>
    <w:basedOn w:val="Normal"/>
    <w:rsid w:val="00A5346C"/>
    <w:pPr>
      <w:spacing w:after="240"/>
    </w:pPr>
    <w:rPr>
      <w:rFonts w:ascii="Times New Roman" w:hAnsi="Times New Roman"/>
      <w:sz w:val="24"/>
      <w:szCs w:val="24"/>
    </w:rPr>
  </w:style>
  <w:style w:type="character" w:styleId="Kpr">
    <w:name w:val="Hyperlink"/>
    <w:basedOn w:val="VarsaylanParagrafYazTipi"/>
    <w:uiPriority w:val="99"/>
    <w:unhideWhenUsed/>
    <w:rsid w:val="00195146"/>
    <w:rPr>
      <w:color w:val="0000FF" w:themeColor="hyperlink"/>
      <w:u w:val="single"/>
    </w:rPr>
  </w:style>
  <w:style w:type="table" w:styleId="TabloKlavuzu">
    <w:name w:val="Table Grid"/>
    <w:basedOn w:val="NormalTablo"/>
    <w:uiPriority w:val="59"/>
    <w:rsid w:val="0050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locked/>
    <w:rsid w:val="00526DE1"/>
    <w:rPr>
      <w:rFonts w:ascii="Arial" w:eastAsia="Arial" w:hAnsi="Arial" w:cs="Arial"/>
      <w:sz w:val="18"/>
      <w:szCs w:val="18"/>
      <w:shd w:val="clear" w:color="auto" w:fill="FFFFFF"/>
    </w:rPr>
  </w:style>
  <w:style w:type="paragraph" w:customStyle="1" w:styleId="Gvdemetni0">
    <w:name w:val="Gövde metni"/>
    <w:basedOn w:val="Normal"/>
    <w:link w:val="Gvdemetni"/>
    <w:rsid w:val="00526DE1"/>
    <w:pPr>
      <w:widowControl w:val="0"/>
      <w:shd w:val="clear" w:color="auto" w:fill="FFFFFF"/>
      <w:spacing w:before="180" w:after="180" w:line="230" w:lineRule="exact"/>
      <w:ind w:hanging="360"/>
      <w:jc w:val="both"/>
    </w:pPr>
    <w:rPr>
      <w:rFonts w:ascii="Arial" w:eastAsia="Arial" w:hAnsi="Arial" w:cs="Arial"/>
      <w:sz w:val="18"/>
      <w:szCs w:val="18"/>
    </w:rPr>
  </w:style>
  <w:style w:type="paragraph" w:customStyle="1" w:styleId="Default">
    <w:name w:val="Default"/>
    <w:rsid w:val="00526DE1"/>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B1A5C"/>
    <w:rPr>
      <w:rFonts w:ascii="Tahoma" w:hAnsi="Tahoma" w:cs="Tahoma"/>
      <w:sz w:val="16"/>
      <w:szCs w:val="16"/>
    </w:rPr>
  </w:style>
  <w:style w:type="character" w:customStyle="1" w:styleId="BalonMetniChar">
    <w:name w:val="Balon Metni Char"/>
    <w:basedOn w:val="VarsaylanParagrafYazTipi"/>
    <w:link w:val="BalonMetni"/>
    <w:uiPriority w:val="99"/>
    <w:semiHidden/>
    <w:rsid w:val="000B1A5C"/>
    <w:rPr>
      <w:rFonts w:ascii="Tahoma" w:hAnsi="Tahoma" w:cs="Tahoma"/>
      <w:sz w:val="16"/>
      <w:szCs w:val="16"/>
    </w:rPr>
  </w:style>
  <w:style w:type="character" w:styleId="AklamaBavurusu">
    <w:name w:val="annotation reference"/>
    <w:basedOn w:val="VarsaylanParagrafYazTipi"/>
    <w:uiPriority w:val="99"/>
    <w:semiHidden/>
    <w:unhideWhenUsed/>
    <w:rsid w:val="000B1A5C"/>
    <w:rPr>
      <w:sz w:val="16"/>
      <w:szCs w:val="16"/>
    </w:rPr>
  </w:style>
  <w:style w:type="paragraph" w:styleId="AklamaMetni">
    <w:name w:val="annotation text"/>
    <w:basedOn w:val="Normal"/>
    <w:link w:val="AklamaMetniChar"/>
    <w:uiPriority w:val="99"/>
    <w:semiHidden/>
    <w:unhideWhenUsed/>
    <w:rsid w:val="000B1A5C"/>
    <w:rPr>
      <w:sz w:val="20"/>
      <w:szCs w:val="20"/>
    </w:rPr>
  </w:style>
  <w:style w:type="character" w:customStyle="1" w:styleId="AklamaMetniChar">
    <w:name w:val="Açıklama Metni Char"/>
    <w:basedOn w:val="VarsaylanParagrafYazTipi"/>
    <w:link w:val="AklamaMetni"/>
    <w:uiPriority w:val="99"/>
    <w:semiHidden/>
    <w:rsid w:val="000B1A5C"/>
    <w:rPr>
      <w:rFonts w:ascii="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B1A5C"/>
    <w:rPr>
      <w:b/>
      <w:bCs/>
    </w:rPr>
  </w:style>
  <w:style w:type="character" w:customStyle="1" w:styleId="AklamaKonusuChar">
    <w:name w:val="Açıklama Konusu Char"/>
    <w:basedOn w:val="AklamaMetniChar"/>
    <w:link w:val="AklamaKonusu"/>
    <w:uiPriority w:val="99"/>
    <w:semiHidden/>
    <w:rsid w:val="000B1A5C"/>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6C"/>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346C"/>
    <w:pPr>
      <w:ind w:left="720"/>
      <w:contextualSpacing/>
    </w:pPr>
    <w:rPr>
      <w:rFonts w:ascii="Arial" w:hAnsi="Arial" w:cs="Arial"/>
      <w:sz w:val="24"/>
      <w:szCs w:val="24"/>
      <w:lang w:eastAsia="tr-TR"/>
    </w:rPr>
  </w:style>
  <w:style w:type="paragraph" w:customStyle="1" w:styleId="Text">
    <w:name w:val="Text"/>
    <w:basedOn w:val="Normal"/>
    <w:rsid w:val="00A5346C"/>
    <w:pPr>
      <w:spacing w:after="240"/>
    </w:pPr>
    <w:rPr>
      <w:rFonts w:ascii="Times New Roman" w:hAnsi="Times New Roman"/>
      <w:sz w:val="24"/>
      <w:szCs w:val="24"/>
    </w:rPr>
  </w:style>
  <w:style w:type="character" w:styleId="Kpr">
    <w:name w:val="Hyperlink"/>
    <w:basedOn w:val="VarsaylanParagrafYazTipi"/>
    <w:uiPriority w:val="99"/>
    <w:unhideWhenUsed/>
    <w:rsid w:val="00195146"/>
    <w:rPr>
      <w:color w:val="0000FF" w:themeColor="hyperlink"/>
      <w:u w:val="single"/>
    </w:rPr>
  </w:style>
  <w:style w:type="table" w:styleId="TabloKlavuzu">
    <w:name w:val="Table Grid"/>
    <w:basedOn w:val="NormalTablo"/>
    <w:uiPriority w:val="59"/>
    <w:rsid w:val="0050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locked/>
    <w:rsid w:val="00526DE1"/>
    <w:rPr>
      <w:rFonts w:ascii="Arial" w:eastAsia="Arial" w:hAnsi="Arial" w:cs="Arial"/>
      <w:sz w:val="18"/>
      <w:szCs w:val="18"/>
      <w:shd w:val="clear" w:color="auto" w:fill="FFFFFF"/>
    </w:rPr>
  </w:style>
  <w:style w:type="paragraph" w:customStyle="1" w:styleId="Gvdemetni0">
    <w:name w:val="Gövde metni"/>
    <w:basedOn w:val="Normal"/>
    <w:link w:val="Gvdemetni"/>
    <w:rsid w:val="00526DE1"/>
    <w:pPr>
      <w:widowControl w:val="0"/>
      <w:shd w:val="clear" w:color="auto" w:fill="FFFFFF"/>
      <w:spacing w:before="180" w:after="180" w:line="230" w:lineRule="exact"/>
      <w:ind w:hanging="360"/>
      <w:jc w:val="both"/>
    </w:pPr>
    <w:rPr>
      <w:rFonts w:ascii="Arial" w:eastAsia="Arial" w:hAnsi="Arial" w:cs="Arial"/>
      <w:sz w:val="18"/>
      <w:szCs w:val="18"/>
    </w:rPr>
  </w:style>
  <w:style w:type="paragraph" w:customStyle="1" w:styleId="Default">
    <w:name w:val="Default"/>
    <w:rsid w:val="00526DE1"/>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B1A5C"/>
    <w:rPr>
      <w:rFonts w:ascii="Tahoma" w:hAnsi="Tahoma" w:cs="Tahoma"/>
      <w:sz w:val="16"/>
      <w:szCs w:val="16"/>
    </w:rPr>
  </w:style>
  <w:style w:type="character" w:customStyle="1" w:styleId="BalonMetniChar">
    <w:name w:val="Balon Metni Char"/>
    <w:basedOn w:val="VarsaylanParagrafYazTipi"/>
    <w:link w:val="BalonMetni"/>
    <w:uiPriority w:val="99"/>
    <w:semiHidden/>
    <w:rsid w:val="000B1A5C"/>
    <w:rPr>
      <w:rFonts w:ascii="Tahoma" w:hAnsi="Tahoma" w:cs="Tahoma"/>
      <w:sz w:val="16"/>
      <w:szCs w:val="16"/>
    </w:rPr>
  </w:style>
  <w:style w:type="character" w:styleId="AklamaBavurusu">
    <w:name w:val="annotation reference"/>
    <w:basedOn w:val="VarsaylanParagrafYazTipi"/>
    <w:uiPriority w:val="99"/>
    <w:semiHidden/>
    <w:unhideWhenUsed/>
    <w:rsid w:val="000B1A5C"/>
    <w:rPr>
      <w:sz w:val="16"/>
      <w:szCs w:val="16"/>
    </w:rPr>
  </w:style>
  <w:style w:type="paragraph" w:styleId="AklamaMetni">
    <w:name w:val="annotation text"/>
    <w:basedOn w:val="Normal"/>
    <w:link w:val="AklamaMetniChar"/>
    <w:uiPriority w:val="99"/>
    <w:semiHidden/>
    <w:unhideWhenUsed/>
    <w:rsid w:val="000B1A5C"/>
    <w:rPr>
      <w:sz w:val="20"/>
      <w:szCs w:val="20"/>
    </w:rPr>
  </w:style>
  <w:style w:type="character" w:customStyle="1" w:styleId="AklamaMetniChar">
    <w:name w:val="Açıklama Metni Char"/>
    <w:basedOn w:val="VarsaylanParagrafYazTipi"/>
    <w:link w:val="AklamaMetni"/>
    <w:uiPriority w:val="99"/>
    <w:semiHidden/>
    <w:rsid w:val="000B1A5C"/>
    <w:rPr>
      <w:rFonts w:ascii="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B1A5C"/>
    <w:rPr>
      <w:b/>
      <w:bCs/>
    </w:rPr>
  </w:style>
  <w:style w:type="character" w:customStyle="1" w:styleId="AklamaKonusuChar">
    <w:name w:val="Açıklama Konusu Char"/>
    <w:basedOn w:val="AklamaMetniChar"/>
    <w:link w:val="AklamaKonusu"/>
    <w:uiPriority w:val="99"/>
    <w:semiHidden/>
    <w:rsid w:val="000B1A5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etgyo.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619</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Tunç KARABULUT</dc:creator>
  <cp:lastModifiedBy>AbdurrahmanAyaz</cp:lastModifiedBy>
  <cp:revision>4</cp:revision>
  <dcterms:created xsi:type="dcterms:W3CDTF">2016-03-28T07:57:00Z</dcterms:created>
  <dcterms:modified xsi:type="dcterms:W3CDTF">2016-03-31T12:48:00Z</dcterms:modified>
</cp:coreProperties>
</file>